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51CB" w14:textId="7BAFB31D" w:rsidR="006E0A03" w:rsidRPr="00391009" w:rsidRDefault="002D2A8A" w:rsidP="005B26F0">
      <w:pPr>
        <w:jc w:val="right"/>
        <w:rPr>
          <w:rFonts w:ascii="Calibri" w:hAnsi="Calibri"/>
          <w:b/>
          <w:color w:val="FF0000"/>
          <w:sz w:val="24"/>
          <w:szCs w:val="24"/>
        </w:rPr>
      </w:pPr>
      <w:bookmarkStart w:id="0" w:name="_Toc444613687"/>
      <w:r w:rsidRPr="00391009">
        <w:rPr>
          <w:rFonts w:ascii="Calibri" w:hAnsi="Calibri"/>
          <w:b/>
          <w:color w:val="FF0000"/>
          <w:sz w:val="24"/>
          <w:szCs w:val="24"/>
        </w:rPr>
        <w:t xml:space="preserve">[Letterhead of </w:t>
      </w:r>
      <w:r w:rsidR="00F57ED4">
        <w:rPr>
          <w:rFonts w:ascii="Calibri" w:hAnsi="Calibri"/>
          <w:b/>
          <w:color w:val="FF0000"/>
          <w:sz w:val="24"/>
          <w:szCs w:val="24"/>
        </w:rPr>
        <w:t>Auditor</w:t>
      </w:r>
      <w:r w:rsidRPr="00391009">
        <w:rPr>
          <w:rFonts w:ascii="Calibri" w:hAnsi="Calibri"/>
          <w:b/>
          <w:color w:val="FF0000"/>
          <w:sz w:val="24"/>
          <w:szCs w:val="24"/>
        </w:rPr>
        <w:t>]</w:t>
      </w:r>
      <w:bookmarkEnd w:id="0"/>
    </w:p>
    <w:p w14:paraId="6051B14F" w14:textId="77777777" w:rsidR="002D2A8A" w:rsidRPr="00391009" w:rsidRDefault="00B75930" w:rsidP="005B26F0">
      <w:pPr>
        <w:jc w:val="right"/>
        <w:rPr>
          <w:rFonts w:ascii="Calibri" w:hAnsi="Calibri"/>
          <w:b/>
          <w:sz w:val="24"/>
          <w:szCs w:val="24"/>
        </w:rPr>
      </w:pPr>
      <w:r w:rsidRPr="00391009">
        <w:rPr>
          <w:rFonts w:ascii="Calibri" w:hAnsi="Calibri"/>
          <w:b/>
          <w:color w:val="FF0000"/>
          <w:sz w:val="24"/>
          <w:szCs w:val="24"/>
        </w:rPr>
        <w:t xml:space="preserve"> </w:t>
      </w:r>
      <w:r w:rsidR="004F4604" w:rsidRPr="00391009">
        <w:rPr>
          <w:rFonts w:ascii="Calibri" w:hAnsi="Calibri"/>
          <w:b/>
          <w:sz w:val="24"/>
          <w:szCs w:val="24"/>
        </w:rPr>
        <w:t>INDEPENDENT AUDITOR’S REPORT</w:t>
      </w:r>
    </w:p>
    <w:p w14:paraId="390C185D" w14:textId="77777777" w:rsidR="004F4604" w:rsidRPr="00391009" w:rsidRDefault="004F4604" w:rsidP="004F4604">
      <w:pPr>
        <w:jc w:val="center"/>
        <w:rPr>
          <w:rFonts w:ascii="Calibri" w:hAnsi="Calibri"/>
          <w:color w:val="FF0000"/>
          <w:sz w:val="24"/>
          <w:szCs w:val="24"/>
        </w:rPr>
      </w:pPr>
    </w:p>
    <w:p w14:paraId="200F7A82" w14:textId="77777777" w:rsidR="00F434BA" w:rsidRPr="00391009" w:rsidRDefault="002D2A8A" w:rsidP="00906240">
      <w:pPr>
        <w:spacing w:after="0" w:line="240" w:lineRule="auto"/>
        <w:jc w:val="both"/>
        <w:rPr>
          <w:rFonts w:ascii="Calibri" w:hAnsi="Calibri"/>
          <w:color w:val="FF0000"/>
          <w:sz w:val="24"/>
          <w:szCs w:val="24"/>
        </w:rPr>
      </w:pPr>
      <w:r w:rsidRPr="00391009">
        <w:rPr>
          <w:rFonts w:ascii="Calibri" w:hAnsi="Calibri"/>
          <w:color w:val="FF0000"/>
          <w:sz w:val="24"/>
          <w:szCs w:val="24"/>
        </w:rPr>
        <w:t>[Date]</w:t>
      </w:r>
    </w:p>
    <w:p w14:paraId="0CDB9516" w14:textId="77777777" w:rsidR="00C602CA" w:rsidRPr="00391009" w:rsidRDefault="00C602CA" w:rsidP="00906240">
      <w:pPr>
        <w:spacing w:after="0" w:line="240" w:lineRule="auto"/>
        <w:jc w:val="both"/>
        <w:rPr>
          <w:sz w:val="24"/>
          <w:szCs w:val="24"/>
        </w:rPr>
      </w:pPr>
    </w:p>
    <w:p w14:paraId="5EF327E2" w14:textId="1E775433" w:rsidR="00C602CA" w:rsidRPr="00391009" w:rsidRDefault="00C602CA" w:rsidP="00906240">
      <w:pPr>
        <w:spacing w:after="0" w:line="240" w:lineRule="auto"/>
        <w:jc w:val="both"/>
        <w:rPr>
          <w:sz w:val="24"/>
          <w:szCs w:val="24"/>
        </w:rPr>
      </w:pPr>
      <w:r w:rsidRPr="00391009">
        <w:rPr>
          <w:sz w:val="24"/>
          <w:szCs w:val="24"/>
        </w:rPr>
        <w:t>Minnesota Housing</w:t>
      </w:r>
    </w:p>
    <w:p w14:paraId="314E0077" w14:textId="77777777" w:rsidR="00C602CA" w:rsidRPr="00391009" w:rsidRDefault="00C602CA" w:rsidP="00906240">
      <w:pPr>
        <w:spacing w:after="0" w:line="240" w:lineRule="auto"/>
        <w:jc w:val="both"/>
        <w:rPr>
          <w:sz w:val="24"/>
          <w:szCs w:val="24"/>
        </w:rPr>
      </w:pPr>
      <w:r w:rsidRPr="00391009">
        <w:rPr>
          <w:sz w:val="24"/>
          <w:szCs w:val="24"/>
        </w:rPr>
        <w:t>400 Wabasha Street North, Suite 400</w:t>
      </w:r>
    </w:p>
    <w:p w14:paraId="18749645" w14:textId="77777777" w:rsidR="00C602CA" w:rsidRPr="00391009" w:rsidRDefault="008B271E" w:rsidP="00906240">
      <w:pPr>
        <w:spacing w:after="0" w:line="240" w:lineRule="auto"/>
        <w:jc w:val="both"/>
        <w:rPr>
          <w:sz w:val="24"/>
          <w:szCs w:val="24"/>
        </w:rPr>
      </w:pPr>
      <w:r w:rsidRPr="00391009">
        <w:rPr>
          <w:sz w:val="24"/>
          <w:szCs w:val="24"/>
        </w:rPr>
        <w:t>St.</w:t>
      </w:r>
      <w:r w:rsidR="00792509" w:rsidRPr="00391009">
        <w:rPr>
          <w:sz w:val="24"/>
          <w:szCs w:val="24"/>
        </w:rPr>
        <w:t xml:space="preserve"> Paul, </w:t>
      </w:r>
      <w:r w:rsidR="00C602CA" w:rsidRPr="00391009">
        <w:rPr>
          <w:sz w:val="24"/>
          <w:szCs w:val="24"/>
        </w:rPr>
        <w:t>MN 55102</w:t>
      </w:r>
    </w:p>
    <w:p w14:paraId="4BB5A204" w14:textId="77777777" w:rsidR="00D907A1" w:rsidRPr="00391009" w:rsidRDefault="00D907A1" w:rsidP="00906240">
      <w:pPr>
        <w:spacing w:after="0" w:line="240" w:lineRule="auto"/>
        <w:jc w:val="both"/>
        <w:rPr>
          <w:sz w:val="24"/>
          <w:szCs w:val="24"/>
        </w:rPr>
      </w:pPr>
    </w:p>
    <w:p w14:paraId="12156233" w14:textId="77777777" w:rsidR="004F4604" w:rsidRPr="00391009" w:rsidRDefault="004F4604" w:rsidP="004F4604">
      <w:pPr>
        <w:spacing w:after="0"/>
        <w:rPr>
          <w:rFonts w:ascii="Calibri" w:hAnsi="Calibri"/>
          <w:color w:val="FF0000"/>
          <w:sz w:val="24"/>
          <w:szCs w:val="24"/>
        </w:rPr>
      </w:pPr>
      <w:r w:rsidRPr="00391009">
        <w:rPr>
          <w:rFonts w:ascii="Calibri" w:hAnsi="Calibri"/>
          <w:color w:val="FF0000"/>
          <w:sz w:val="24"/>
          <w:szCs w:val="24"/>
        </w:rPr>
        <w:t>[Name of Ownership Entity]</w:t>
      </w:r>
    </w:p>
    <w:p w14:paraId="596503D6" w14:textId="77777777" w:rsidR="004F4604" w:rsidRPr="00391009" w:rsidRDefault="004F4604" w:rsidP="004F4604">
      <w:pPr>
        <w:spacing w:after="0"/>
        <w:rPr>
          <w:rFonts w:ascii="Calibri" w:hAnsi="Calibri"/>
          <w:color w:val="FF0000"/>
          <w:sz w:val="24"/>
          <w:szCs w:val="24"/>
        </w:rPr>
      </w:pPr>
      <w:r w:rsidRPr="00391009">
        <w:rPr>
          <w:rFonts w:ascii="Calibri" w:hAnsi="Calibri"/>
          <w:color w:val="FF0000"/>
          <w:sz w:val="24"/>
          <w:szCs w:val="24"/>
        </w:rPr>
        <w:t>[Address]</w:t>
      </w:r>
    </w:p>
    <w:p w14:paraId="13510342" w14:textId="77777777" w:rsidR="004F4604" w:rsidRPr="00391009" w:rsidRDefault="004F4604" w:rsidP="004F4604">
      <w:pPr>
        <w:spacing w:after="0"/>
        <w:rPr>
          <w:rFonts w:ascii="Calibri" w:hAnsi="Calibri"/>
          <w:sz w:val="24"/>
          <w:szCs w:val="24"/>
        </w:rPr>
      </w:pPr>
    </w:p>
    <w:p w14:paraId="25F6BEA4" w14:textId="77777777" w:rsidR="004F4604" w:rsidRPr="00391009" w:rsidRDefault="004F4604" w:rsidP="004F4604">
      <w:pPr>
        <w:spacing w:after="0"/>
        <w:rPr>
          <w:rFonts w:ascii="Calibri" w:hAnsi="Calibri"/>
          <w:color w:val="FF0000"/>
          <w:sz w:val="24"/>
          <w:szCs w:val="24"/>
        </w:rPr>
      </w:pPr>
      <w:r w:rsidRPr="00391009">
        <w:rPr>
          <w:rFonts w:ascii="Calibri" w:hAnsi="Calibri"/>
          <w:sz w:val="24"/>
          <w:szCs w:val="24"/>
        </w:rPr>
        <w:t>Re:</w:t>
      </w:r>
      <w:r w:rsidRPr="00391009">
        <w:rPr>
          <w:rFonts w:ascii="Calibri" w:hAnsi="Calibri"/>
          <w:sz w:val="24"/>
          <w:szCs w:val="24"/>
        </w:rPr>
        <w:tab/>
      </w:r>
      <w:r w:rsidRPr="00391009">
        <w:rPr>
          <w:rFonts w:ascii="Calibri" w:hAnsi="Calibri"/>
          <w:color w:val="FF0000"/>
          <w:sz w:val="24"/>
          <w:szCs w:val="24"/>
        </w:rPr>
        <w:t>[Name and Location of project]</w:t>
      </w:r>
    </w:p>
    <w:p w14:paraId="05FC4DE2" w14:textId="77777777" w:rsidR="004F4604" w:rsidRPr="00391009" w:rsidRDefault="004F4604" w:rsidP="004F4604">
      <w:pPr>
        <w:spacing w:after="0"/>
        <w:rPr>
          <w:rFonts w:ascii="Calibri" w:hAnsi="Calibri"/>
          <w:color w:val="FF0000"/>
          <w:sz w:val="24"/>
          <w:szCs w:val="24"/>
        </w:rPr>
      </w:pPr>
      <w:r w:rsidRPr="00391009">
        <w:rPr>
          <w:rFonts w:ascii="Calibri" w:hAnsi="Calibri"/>
          <w:color w:val="FF0000"/>
          <w:sz w:val="24"/>
          <w:szCs w:val="24"/>
        </w:rPr>
        <w:tab/>
        <w:t>[Minnesota Housing HTC #]</w:t>
      </w:r>
    </w:p>
    <w:p w14:paraId="3B448256" w14:textId="77777777" w:rsidR="004F4604" w:rsidRPr="00391009" w:rsidRDefault="004F4604" w:rsidP="004F4604">
      <w:pPr>
        <w:spacing w:after="0"/>
        <w:rPr>
          <w:rFonts w:ascii="Calibri" w:hAnsi="Calibri"/>
          <w:color w:val="FF0000"/>
          <w:sz w:val="24"/>
          <w:szCs w:val="24"/>
        </w:rPr>
      </w:pPr>
    </w:p>
    <w:p w14:paraId="4E48EFAA" w14:textId="77777777" w:rsidR="004F4604" w:rsidRPr="00391009" w:rsidRDefault="004F4604" w:rsidP="004F4604">
      <w:pPr>
        <w:rPr>
          <w:rFonts w:ascii="Calibri" w:hAnsi="Calibri"/>
          <w:sz w:val="24"/>
          <w:szCs w:val="24"/>
        </w:rPr>
      </w:pPr>
      <w:r w:rsidRPr="00391009">
        <w:rPr>
          <w:rFonts w:ascii="Calibri" w:hAnsi="Calibri"/>
          <w:sz w:val="24"/>
          <w:szCs w:val="24"/>
        </w:rPr>
        <w:t>Dear Sir/Madam:</w:t>
      </w:r>
    </w:p>
    <w:p w14:paraId="5F1F1F1A" w14:textId="11006DF9" w:rsidR="00D907A1" w:rsidRPr="00391009" w:rsidRDefault="00D907A1" w:rsidP="00D907A1">
      <w:pPr>
        <w:spacing w:after="0" w:line="240" w:lineRule="auto"/>
        <w:jc w:val="both"/>
        <w:rPr>
          <w:rFonts w:ascii="Calibri" w:hAnsi="Calibri"/>
          <w:sz w:val="24"/>
          <w:szCs w:val="24"/>
        </w:rPr>
      </w:pPr>
      <w:r w:rsidRPr="00391009">
        <w:rPr>
          <w:rFonts w:ascii="Calibri" w:hAnsi="Calibri"/>
          <w:sz w:val="24"/>
          <w:szCs w:val="24"/>
        </w:rPr>
        <w:t>We</w:t>
      </w:r>
      <w:r w:rsidR="006C532B" w:rsidRPr="00391009">
        <w:rPr>
          <w:rFonts w:ascii="Calibri" w:hAnsi="Calibri"/>
          <w:sz w:val="24"/>
          <w:szCs w:val="24"/>
        </w:rPr>
        <w:t xml:space="preserve">, </w:t>
      </w:r>
      <w:r w:rsidR="006C532B" w:rsidRPr="00391009">
        <w:rPr>
          <w:rFonts w:ascii="Calibri" w:hAnsi="Calibri"/>
          <w:color w:val="FF0000"/>
          <w:sz w:val="24"/>
          <w:szCs w:val="24"/>
        </w:rPr>
        <w:t>[name of independent auditor]</w:t>
      </w:r>
      <w:r w:rsidR="006C532B" w:rsidRPr="00391009">
        <w:rPr>
          <w:rFonts w:ascii="Calibri" w:hAnsi="Calibri"/>
          <w:sz w:val="24"/>
          <w:szCs w:val="24"/>
        </w:rPr>
        <w:t>,</w:t>
      </w:r>
      <w:r w:rsidRPr="00391009">
        <w:rPr>
          <w:rFonts w:ascii="Calibri" w:hAnsi="Calibri"/>
          <w:sz w:val="24"/>
          <w:szCs w:val="24"/>
        </w:rPr>
        <w:t xml:space="preserve"> have performed the procedures enumerated below, which were agreed to by </w:t>
      </w:r>
      <w:r w:rsidRPr="00391009">
        <w:rPr>
          <w:rFonts w:ascii="Calibri" w:hAnsi="Calibri"/>
          <w:color w:val="FF0000"/>
          <w:sz w:val="24"/>
          <w:szCs w:val="24"/>
        </w:rPr>
        <w:t>[name of owner]</w:t>
      </w:r>
      <w:r w:rsidRPr="00391009">
        <w:rPr>
          <w:rFonts w:ascii="Calibri" w:hAnsi="Calibri"/>
          <w:sz w:val="24"/>
          <w:szCs w:val="24"/>
        </w:rPr>
        <w:t xml:space="preserve"> (</w:t>
      </w:r>
      <w:r w:rsidR="00F75DD7" w:rsidRPr="00391009">
        <w:rPr>
          <w:rFonts w:ascii="Calibri" w:hAnsi="Calibri"/>
          <w:sz w:val="24"/>
          <w:szCs w:val="24"/>
        </w:rPr>
        <w:t>Owner</w:t>
      </w:r>
      <w:r w:rsidRPr="00391009">
        <w:rPr>
          <w:rFonts w:ascii="Calibri" w:hAnsi="Calibri"/>
          <w:sz w:val="24"/>
          <w:szCs w:val="24"/>
        </w:rPr>
        <w:t xml:space="preserve">) and the Minnesota Housing Finance Agency (Minnesota Housing), solely to help </w:t>
      </w:r>
      <w:r w:rsidR="00251242" w:rsidRPr="00391009">
        <w:rPr>
          <w:rFonts w:ascii="Calibri" w:hAnsi="Calibri"/>
          <w:sz w:val="24"/>
          <w:szCs w:val="24"/>
        </w:rPr>
        <w:t xml:space="preserve">Minnesota Housing </w:t>
      </w:r>
      <w:r w:rsidRPr="00391009">
        <w:rPr>
          <w:rFonts w:ascii="Calibri" w:hAnsi="Calibri"/>
          <w:sz w:val="24"/>
          <w:szCs w:val="24"/>
        </w:rPr>
        <w:t xml:space="preserve">in evaluating the </w:t>
      </w:r>
      <w:r w:rsidR="007664F3" w:rsidRPr="00391009">
        <w:rPr>
          <w:rFonts w:ascii="Calibri" w:hAnsi="Calibri"/>
          <w:sz w:val="24"/>
          <w:szCs w:val="24"/>
        </w:rPr>
        <w:t xml:space="preserve">Owner’s </w:t>
      </w:r>
      <w:r w:rsidRPr="00391009">
        <w:rPr>
          <w:rFonts w:ascii="Calibri" w:hAnsi="Calibri"/>
          <w:sz w:val="24"/>
          <w:szCs w:val="24"/>
        </w:rPr>
        <w:t xml:space="preserve">compliance with Section 42(h)(6)(F) of the Internal Revenue Code </w:t>
      </w:r>
      <w:r w:rsidR="00A666A9" w:rsidRPr="00391009">
        <w:rPr>
          <w:rFonts w:ascii="Calibri" w:hAnsi="Calibri"/>
          <w:sz w:val="24"/>
          <w:szCs w:val="24"/>
        </w:rPr>
        <w:t>(IRC)</w:t>
      </w:r>
      <w:r w:rsidR="007B3F1E" w:rsidRPr="00391009">
        <w:rPr>
          <w:rFonts w:ascii="Calibri" w:hAnsi="Calibri"/>
          <w:sz w:val="24"/>
          <w:szCs w:val="24"/>
        </w:rPr>
        <w:t xml:space="preserve">, CFR 1.42-18 </w:t>
      </w:r>
      <w:r w:rsidRPr="00391009">
        <w:rPr>
          <w:rFonts w:ascii="Calibri" w:hAnsi="Calibri"/>
          <w:sz w:val="24"/>
          <w:szCs w:val="24"/>
        </w:rPr>
        <w:t xml:space="preserve">and Minnesota Housing’s Qualified Contract Process Guide in the Calculation of Qualified Contract Price (Minnesota Housing Form QC-1 and related Worksheets attached) as of </w:t>
      </w:r>
      <w:r w:rsidRPr="00391009">
        <w:rPr>
          <w:rFonts w:ascii="Calibri" w:hAnsi="Calibri"/>
          <w:color w:val="FF0000"/>
          <w:sz w:val="24"/>
          <w:szCs w:val="24"/>
        </w:rPr>
        <w:t>[month, day, year]</w:t>
      </w:r>
      <w:r w:rsidRPr="00391009">
        <w:rPr>
          <w:rFonts w:ascii="Calibri" w:hAnsi="Calibri"/>
          <w:sz w:val="24"/>
          <w:szCs w:val="24"/>
        </w:rPr>
        <w:t xml:space="preserve">. Management is responsible for the </w:t>
      </w:r>
      <w:r w:rsidR="007664F3" w:rsidRPr="00391009">
        <w:rPr>
          <w:rFonts w:ascii="Calibri" w:hAnsi="Calibri"/>
          <w:sz w:val="24"/>
          <w:szCs w:val="24"/>
        </w:rPr>
        <w:t xml:space="preserve">Owner’s </w:t>
      </w:r>
      <w:r w:rsidRPr="00391009">
        <w:rPr>
          <w:rFonts w:ascii="Calibri" w:hAnsi="Calibri"/>
          <w:sz w:val="24"/>
          <w:szCs w:val="24"/>
        </w:rPr>
        <w:t>compliance with those requirements.</w:t>
      </w:r>
    </w:p>
    <w:p w14:paraId="47F91A30" w14:textId="77777777" w:rsidR="00D907A1" w:rsidRPr="00391009" w:rsidRDefault="00D907A1" w:rsidP="00D907A1">
      <w:pPr>
        <w:spacing w:after="0" w:line="240" w:lineRule="auto"/>
        <w:jc w:val="both"/>
        <w:rPr>
          <w:rFonts w:ascii="Calibri" w:hAnsi="Calibri"/>
          <w:sz w:val="24"/>
          <w:szCs w:val="24"/>
        </w:rPr>
      </w:pPr>
    </w:p>
    <w:p w14:paraId="3A6E72F0" w14:textId="77777777" w:rsidR="00D907A1" w:rsidRPr="00391009" w:rsidRDefault="00D907A1" w:rsidP="00D907A1">
      <w:pPr>
        <w:spacing w:after="0" w:line="240" w:lineRule="auto"/>
        <w:jc w:val="both"/>
        <w:rPr>
          <w:rFonts w:ascii="Calibri" w:hAnsi="Calibri"/>
          <w:sz w:val="24"/>
          <w:szCs w:val="24"/>
        </w:rPr>
      </w:pPr>
      <w:r w:rsidRPr="00391009">
        <w:rPr>
          <w:rFonts w:ascii="Calibri" w:hAnsi="Calibri"/>
          <w:sz w:val="24"/>
          <w:szCs w:val="24"/>
        </w:rPr>
        <w:t xml:space="preserve">This agreed-upon procedures engagement was conducted in accordance with attestation standards established by the American Institute of Certified Public Accountants. The sufficiency of these procedures is solely the responsibility of the </w:t>
      </w:r>
      <w:r w:rsidR="007664F3" w:rsidRPr="00391009">
        <w:rPr>
          <w:rFonts w:ascii="Calibri" w:hAnsi="Calibri"/>
          <w:sz w:val="24"/>
          <w:szCs w:val="24"/>
        </w:rPr>
        <w:t xml:space="preserve">Owner </w:t>
      </w:r>
      <w:r w:rsidRPr="00391009">
        <w:rPr>
          <w:rFonts w:ascii="Calibri" w:hAnsi="Calibri"/>
          <w:sz w:val="24"/>
          <w:szCs w:val="24"/>
        </w:rPr>
        <w:t>and Minnesota Housing. Consequently, we make no representation regarding the sufficiency of the procedures described below either for the purpose for which this report has been requested or for any other purpose.</w:t>
      </w:r>
    </w:p>
    <w:p w14:paraId="3A3C3050" w14:textId="77777777" w:rsidR="00D907A1" w:rsidRPr="00391009" w:rsidRDefault="00D907A1" w:rsidP="00D907A1">
      <w:pPr>
        <w:spacing w:after="0" w:line="240" w:lineRule="auto"/>
        <w:jc w:val="both"/>
        <w:rPr>
          <w:rFonts w:ascii="Calibri" w:hAnsi="Calibri"/>
          <w:sz w:val="24"/>
          <w:szCs w:val="24"/>
        </w:rPr>
      </w:pPr>
    </w:p>
    <w:p w14:paraId="32163FB6" w14:textId="77777777" w:rsidR="00D907A1" w:rsidRPr="00391009" w:rsidRDefault="00D907A1" w:rsidP="00D907A1">
      <w:pPr>
        <w:spacing w:after="0" w:line="240" w:lineRule="auto"/>
        <w:jc w:val="both"/>
        <w:rPr>
          <w:rFonts w:ascii="Calibri" w:hAnsi="Calibri"/>
          <w:sz w:val="24"/>
          <w:szCs w:val="24"/>
        </w:rPr>
      </w:pPr>
      <w:r w:rsidRPr="00391009">
        <w:rPr>
          <w:rFonts w:ascii="Calibri" w:hAnsi="Calibri"/>
          <w:sz w:val="24"/>
          <w:szCs w:val="24"/>
        </w:rPr>
        <w:t xml:space="preserve">The </w:t>
      </w:r>
      <w:r w:rsidR="00F75DD7" w:rsidRPr="00391009">
        <w:rPr>
          <w:rFonts w:ascii="Calibri" w:hAnsi="Calibri"/>
          <w:sz w:val="24"/>
          <w:szCs w:val="24"/>
        </w:rPr>
        <w:t xml:space="preserve">Owner </w:t>
      </w:r>
      <w:r w:rsidRPr="00391009">
        <w:rPr>
          <w:rFonts w:ascii="Calibri" w:hAnsi="Calibri"/>
          <w:sz w:val="24"/>
          <w:szCs w:val="24"/>
        </w:rPr>
        <w:t xml:space="preserve">has selected </w:t>
      </w:r>
      <w:r w:rsidRPr="00391009">
        <w:rPr>
          <w:rFonts w:ascii="Calibri" w:hAnsi="Calibri"/>
          <w:color w:val="FF0000"/>
          <w:sz w:val="24"/>
          <w:szCs w:val="24"/>
        </w:rPr>
        <w:t>[month</w:t>
      </w:r>
      <w:r w:rsidR="00C8222C" w:rsidRPr="00391009">
        <w:rPr>
          <w:rFonts w:ascii="Calibri" w:hAnsi="Calibri"/>
          <w:color w:val="FF0000"/>
          <w:sz w:val="24"/>
          <w:szCs w:val="24"/>
        </w:rPr>
        <w:t>,</w:t>
      </w:r>
      <w:r w:rsidRPr="00391009">
        <w:rPr>
          <w:rFonts w:ascii="Calibri" w:hAnsi="Calibri"/>
          <w:color w:val="FF0000"/>
          <w:sz w:val="24"/>
          <w:szCs w:val="24"/>
        </w:rPr>
        <w:t xml:space="preserve"> day</w:t>
      </w:r>
      <w:r w:rsidR="00C8222C" w:rsidRPr="00391009">
        <w:rPr>
          <w:rFonts w:ascii="Calibri" w:hAnsi="Calibri"/>
          <w:color w:val="FF0000"/>
          <w:sz w:val="24"/>
          <w:szCs w:val="24"/>
        </w:rPr>
        <w:t>,</w:t>
      </w:r>
      <w:r w:rsidRPr="00391009">
        <w:rPr>
          <w:rFonts w:ascii="Calibri" w:hAnsi="Calibri"/>
          <w:color w:val="FF0000"/>
          <w:sz w:val="24"/>
          <w:szCs w:val="24"/>
        </w:rPr>
        <w:t xml:space="preserve"> year] </w:t>
      </w:r>
      <w:r w:rsidRPr="00391009">
        <w:rPr>
          <w:rFonts w:ascii="Calibri" w:hAnsi="Calibri"/>
          <w:sz w:val="24"/>
          <w:szCs w:val="24"/>
        </w:rPr>
        <w:t>(the last day of the compliance period) to be the qualified contract price determination date. Accordingly, some balances (such as the outstanding balance of amortizing debt or the balance of accrued interest on deferred debt) have been estimated to a date beyond the latest financial statements.</w:t>
      </w:r>
    </w:p>
    <w:p w14:paraId="1A96EA02" w14:textId="77777777" w:rsidR="00D907A1" w:rsidRPr="00391009" w:rsidRDefault="00D907A1" w:rsidP="00D907A1">
      <w:pPr>
        <w:spacing w:after="0" w:line="240" w:lineRule="auto"/>
        <w:jc w:val="both"/>
        <w:rPr>
          <w:rFonts w:ascii="Calibri" w:hAnsi="Calibri"/>
          <w:sz w:val="24"/>
          <w:szCs w:val="24"/>
        </w:rPr>
      </w:pPr>
    </w:p>
    <w:p w14:paraId="2A9C0DBE" w14:textId="77777777" w:rsidR="00D907A1" w:rsidRPr="00391009" w:rsidRDefault="00D907A1" w:rsidP="00C46210">
      <w:pPr>
        <w:spacing w:after="120" w:line="240" w:lineRule="auto"/>
        <w:jc w:val="both"/>
        <w:rPr>
          <w:rFonts w:ascii="Calibri" w:hAnsi="Calibri"/>
          <w:sz w:val="24"/>
          <w:szCs w:val="24"/>
        </w:rPr>
      </w:pPr>
      <w:r w:rsidRPr="00391009">
        <w:rPr>
          <w:rFonts w:ascii="Calibri" w:hAnsi="Calibri"/>
          <w:sz w:val="24"/>
          <w:szCs w:val="24"/>
        </w:rPr>
        <w:t>The agreed upon procedures and findings are as follows:</w:t>
      </w:r>
    </w:p>
    <w:p w14:paraId="3FC802A6" w14:textId="77777777" w:rsidR="00D907A1" w:rsidRPr="00391009" w:rsidRDefault="00D907A1" w:rsidP="00C46210">
      <w:pPr>
        <w:numPr>
          <w:ilvl w:val="0"/>
          <w:numId w:val="2"/>
        </w:numPr>
        <w:spacing w:after="120" w:line="240" w:lineRule="auto"/>
        <w:jc w:val="both"/>
        <w:rPr>
          <w:rFonts w:ascii="Calibri" w:hAnsi="Calibri"/>
          <w:sz w:val="24"/>
          <w:szCs w:val="24"/>
        </w:rPr>
      </w:pPr>
      <w:r w:rsidRPr="00391009">
        <w:rPr>
          <w:rFonts w:ascii="Calibri" w:hAnsi="Calibri"/>
          <w:sz w:val="24"/>
          <w:szCs w:val="24"/>
        </w:rPr>
        <w:t xml:space="preserve">We requested copies of the following documents from the </w:t>
      </w:r>
      <w:r w:rsidR="005539FF" w:rsidRPr="00391009">
        <w:rPr>
          <w:rFonts w:ascii="Calibri" w:hAnsi="Calibri"/>
          <w:sz w:val="24"/>
          <w:szCs w:val="24"/>
        </w:rPr>
        <w:t>Owner</w:t>
      </w:r>
      <w:r w:rsidRPr="00391009">
        <w:rPr>
          <w:rFonts w:ascii="Calibri" w:hAnsi="Calibri"/>
          <w:sz w:val="24"/>
          <w:szCs w:val="24"/>
        </w:rPr>
        <w:t>:</w:t>
      </w:r>
    </w:p>
    <w:p w14:paraId="771A5EDC" w14:textId="77777777" w:rsidR="00D907A1" w:rsidRPr="00391009" w:rsidRDefault="00D907A1" w:rsidP="00C46210">
      <w:pPr>
        <w:numPr>
          <w:ilvl w:val="0"/>
          <w:numId w:val="3"/>
        </w:numPr>
        <w:spacing w:after="120" w:line="240" w:lineRule="auto"/>
        <w:ind w:left="720"/>
        <w:jc w:val="both"/>
        <w:rPr>
          <w:rFonts w:ascii="Calibri" w:hAnsi="Calibri"/>
          <w:sz w:val="24"/>
          <w:szCs w:val="24"/>
        </w:rPr>
      </w:pPr>
      <w:r w:rsidRPr="00391009">
        <w:rPr>
          <w:rFonts w:ascii="Calibri" w:hAnsi="Calibri"/>
          <w:sz w:val="24"/>
          <w:szCs w:val="24"/>
        </w:rPr>
        <w:t>Partnership Agreement</w:t>
      </w:r>
      <w:r w:rsidR="005539FF" w:rsidRPr="00391009">
        <w:rPr>
          <w:rFonts w:ascii="Calibri" w:hAnsi="Calibri"/>
          <w:sz w:val="24"/>
          <w:szCs w:val="24"/>
        </w:rPr>
        <w:t>,</w:t>
      </w:r>
      <w:r w:rsidRPr="00391009">
        <w:rPr>
          <w:rFonts w:ascii="Calibri" w:hAnsi="Calibri"/>
          <w:sz w:val="24"/>
          <w:szCs w:val="24"/>
        </w:rPr>
        <w:t xml:space="preserve"> including all amendments</w:t>
      </w:r>
    </w:p>
    <w:p w14:paraId="49B625D7" w14:textId="77777777" w:rsidR="00D907A1" w:rsidRPr="00391009" w:rsidRDefault="00D907A1" w:rsidP="00C46210">
      <w:pPr>
        <w:numPr>
          <w:ilvl w:val="0"/>
          <w:numId w:val="3"/>
        </w:numPr>
        <w:spacing w:after="120" w:line="240" w:lineRule="auto"/>
        <w:ind w:left="720"/>
        <w:jc w:val="both"/>
        <w:rPr>
          <w:rFonts w:ascii="Calibri" w:hAnsi="Calibri"/>
          <w:sz w:val="24"/>
          <w:szCs w:val="24"/>
        </w:rPr>
      </w:pPr>
      <w:r w:rsidRPr="00391009">
        <w:rPr>
          <w:rFonts w:ascii="Calibri" w:hAnsi="Calibri"/>
          <w:sz w:val="24"/>
          <w:szCs w:val="24"/>
        </w:rPr>
        <w:lastRenderedPageBreak/>
        <w:t>Declaration of Land Use Restrictive Covenants (LURA)</w:t>
      </w:r>
    </w:p>
    <w:p w14:paraId="6BD69620" w14:textId="77777777" w:rsidR="00D907A1" w:rsidRPr="00391009" w:rsidRDefault="00D907A1" w:rsidP="00C46210">
      <w:pPr>
        <w:numPr>
          <w:ilvl w:val="0"/>
          <w:numId w:val="3"/>
        </w:numPr>
        <w:spacing w:after="120" w:line="240" w:lineRule="auto"/>
        <w:ind w:left="720"/>
        <w:jc w:val="both"/>
        <w:rPr>
          <w:rFonts w:ascii="Calibri" w:hAnsi="Calibri"/>
          <w:sz w:val="24"/>
          <w:szCs w:val="24"/>
        </w:rPr>
      </w:pPr>
      <w:r w:rsidRPr="00391009">
        <w:rPr>
          <w:rFonts w:ascii="Calibri" w:hAnsi="Calibri"/>
          <w:sz w:val="24"/>
          <w:szCs w:val="24"/>
        </w:rPr>
        <w:t>Audited financial statements from inception</w:t>
      </w:r>
    </w:p>
    <w:p w14:paraId="224A2E7B" w14:textId="77777777" w:rsidR="00D907A1" w:rsidRPr="00391009" w:rsidRDefault="00D907A1" w:rsidP="00C46210">
      <w:pPr>
        <w:numPr>
          <w:ilvl w:val="0"/>
          <w:numId w:val="3"/>
        </w:numPr>
        <w:spacing w:after="120" w:line="240" w:lineRule="auto"/>
        <w:ind w:left="720"/>
        <w:jc w:val="both"/>
        <w:rPr>
          <w:rFonts w:ascii="Calibri" w:hAnsi="Calibri"/>
          <w:sz w:val="24"/>
          <w:szCs w:val="24"/>
        </w:rPr>
      </w:pPr>
      <w:r w:rsidRPr="00391009">
        <w:rPr>
          <w:rFonts w:ascii="Calibri" w:hAnsi="Calibri"/>
          <w:sz w:val="24"/>
          <w:szCs w:val="24"/>
        </w:rPr>
        <w:t>Tax returns from inception</w:t>
      </w:r>
    </w:p>
    <w:p w14:paraId="12E5EB0B" w14:textId="77777777" w:rsidR="00D907A1" w:rsidRPr="00391009" w:rsidRDefault="00D907A1" w:rsidP="00391009">
      <w:pPr>
        <w:numPr>
          <w:ilvl w:val="0"/>
          <w:numId w:val="3"/>
        </w:numPr>
        <w:spacing w:after="120" w:line="240" w:lineRule="auto"/>
        <w:ind w:left="720"/>
        <w:jc w:val="both"/>
        <w:rPr>
          <w:rFonts w:ascii="Calibri" w:hAnsi="Calibri"/>
          <w:sz w:val="24"/>
          <w:szCs w:val="24"/>
        </w:rPr>
      </w:pPr>
      <w:r w:rsidRPr="00391009">
        <w:rPr>
          <w:rFonts w:ascii="Calibri" w:hAnsi="Calibri"/>
          <w:sz w:val="24"/>
          <w:szCs w:val="24"/>
        </w:rPr>
        <w:t xml:space="preserve">Valuation of the </w:t>
      </w:r>
      <w:r w:rsidR="00B473EB" w:rsidRPr="00391009">
        <w:rPr>
          <w:rFonts w:ascii="Calibri" w:hAnsi="Calibri"/>
          <w:sz w:val="24"/>
          <w:szCs w:val="24"/>
        </w:rPr>
        <w:t>non-</w:t>
      </w:r>
      <w:proofErr w:type="gramStart"/>
      <w:r w:rsidR="00DF66F1" w:rsidRPr="00391009">
        <w:rPr>
          <w:rFonts w:ascii="Calibri" w:hAnsi="Calibri"/>
          <w:sz w:val="24"/>
          <w:szCs w:val="24"/>
        </w:rPr>
        <w:t>low income</w:t>
      </w:r>
      <w:proofErr w:type="gramEnd"/>
      <w:r w:rsidR="00DF66F1" w:rsidRPr="00391009">
        <w:rPr>
          <w:rFonts w:ascii="Calibri" w:hAnsi="Calibri"/>
          <w:sz w:val="24"/>
          <w:szCs w:val="24"/>
        </w:rPr>
        <w:t xml:space="preserve"> housing tax credit</w:t>
      </w:r>
      <w:r w:rsidR="008073F0" w:rsidRPr="00391009">
        <w:rPr>
          <w:rFonts w:ascii="Calibri" w:hAnsi="Calibri"/>
          <w:sz w:val="24"/>
          <w:szCs w:val="24"/>
        </w:rPr>
        <w:t xml:space="preserve"> (HTC)</w:t>
      </w:r>
      <w:r w:rsidR="00DF66F1" w:rsidRPr="00391009">
        <w:rPr>
          <w:rFonts w:ascii="Calibri" w:hAnsi="Calibri"/>
          <w:sz w:val="24"/>
          <w:szCs w:val="24"/>
        </w:rPr>
        <w:t xml:space="preserve"> </w:t>
      </w:r>
      <w:r w:rsidR="00AC66B5" w:rsidRPr="00391009">
        <w:rPr>
          <w:rFonts w:ascii="Calibri" w:hAnsi="Calibri"/>
          <w:sz w:val="24"/>
          <w:szCs w:val="24"/>
        </w:rPr>
        <w:t xml:space="preserve">portion of the </w:t>
      </w:r>
      <w:r w:rsidRPr="00391009">
        <w:rPr>
          <w:rFonts w:ascii="Calibri" w:hAnsi="Calibri"/>
          <w:sz w:val="24"/>
          <w:szCs w:val="24"/>
        </w:rPr>
        <w:t>property</w:t>
      </w:r>
    </w:p>
    <w:p w14:paraId="1976CDFB" w14:textId="77777777" w:rsidR="000B097C" w:rsidRDefault="00D907A1" w:rsidP="00391009">
      <w:pPr>
        <w:spacing w:after="0"/>
        <w:rPr>
          <w:rFonts w:ascii="Calibri" w:hAnsi="Calibri"/>
          <w:sz w:val="24"/>
          <w:szCs w:val="24"/>
        </w:rPr>
      </w:pPr>
      <w:r w:rsidRPr="00391009">
        <w:rPr>
          <w:rFonts w:ascii="Calibri" w:hAnsi="Calibri"/>
          <w:sz w:val="24"/>
          <w:szCs w:val="24"/>
        </w:rPr>
        <w:t xml:space="preserve">All other documentation we found necessary to evaluate compliance with the requirements of Section 42(h)(6)(F) </w:t>
      </w:r>
      <w:r w:rsidR="00D87FAE" w:rsidRPr="00391009">
        <w:rPr>
          <w:rFonts w:ascii="Calibri" w:hAnsi="Calibri"/>
          <w:sz w:val="24"/>
          <w:szCs w:val="24"/>
        </w:rPr>
        <w:t xml:space="preserve">of the </w:t>
      </w:r>
      <w:r w:rsidR="008073F0" w:rsidRPr="00391009">
        <w:rPr>
          <w:rFonts w:ascii="Calibri" w:hAnsi="Calibri"/>
          <w:sz w:val="24"/>
          <w:szCs w:val="24"/>
        </w:rPr>
        <w:t>IRC</w:t>
      </w:r>
      <w:r w:rsidR="00D87FAE" w:rsidRPr="00391009">
        <w:rPr>
          <w:rFonts w:ascii="Calibri" w:hAnsi="Calibri"/>
          <w:sz w:val="24"/>
          <w:szCs w:val="24"/>
        </w:rPr>
        <w:t xml:space="preserve"> </w:t>
      </w:r>
      <w:r w:rsidRPr="00391009">
        <w:rPr>
          <w:rFonts w:ascii="Calibri" w:hAnsi="Calibri"/>
          <w:sz w:val="24"/>
          <w:szCs w:val="24"/>
        </w:rPr>
        <w:t>and CFR 1.42-18</w:t>
      </w:r>
      <w:r w:rsidR="00D87FAE" w:rsidRPr="00391009">
        <w:rPr>
          <w:rFonts w:ascii="Calibri" w:hAnsi="Calibri"/>
          <w:sz w:val="24"/>
          <w:szCs w:val="24"/>
        </w:rPr>
        <w:t xml:space="preserve">. </w:t>
      </w:r>
      <w:r w:rsidRPr="00391009">
        <w:rPr>
          <w:rFonts w:ascii="Calibri" w:hAnsi="Calibri"/>
          <w:sz w:val="24"/>
          <w:szCs w:val="24"/>
        </w:rPr>
        <w:t>All requested documents were provided.</w:t>
      </w:r>
    </w:p>
    <w:p w14:paraId="7DC8C682" w14:textId="77777777" w:rsidR="00391009" w:rsidRPr="00391009" w:rsidRDefault="00391009" w:rsidP="00391009">
      <w:pPr>
        <w:spacing w:after="0"/>
        <w:rPr>
          <w:rFonts w:ascii="Calibri" w:hAnsi="Calibri"/>
          <w:sz w:val="24"/>
          <w:szCs w:val="24"/>
        </w:rPr>
      </w:pPr>
    </w:p>
    <w:p w14:paraId="1A746F80" w14:textId="77777777" w:rsidR="000B097C" w:rsidRPr="00391009" w:rsidRDefault="000B097C" w:rsidP="000B0AEB">
      <w:pPr>
        <w:numPr>
          <w:ilvl w:val="0"/>
          <w:numId w:val="2"/>
        </w:numPr>
        <w:tabs>
          <w:tab w:val="left" w:pos="270"/>
        </w:tabs>
        <w:spacing w:after="120" w:line="240" w:lineRule="auto"/>
        <w:jc w:val="both"/>
        <w:rPr>
          <w:sz w:val="24"/>
          <w:szCs w:val="24"/>
        </w:rPr>
      </w:pPr>
      <w:r w:rsidRPr="00391009">
        <w:rPr>
          <w:sz w:val="24"/>
          <w:szCs w:val="24"/>
        </w:rPr>
        <w:t xml:space="preserve">We obtained and read a copy of Minnesota Housing Form QC-1 and related Worksheets. </w:t>
      </w:r>
    </w:p>
    <w:p w14:paraId="7FE64827" w14:textId="77777777" w:rsidR="000B097C" w:rsidRPr="00391009" w:rsidRDefault="000B097C" w:rsidP="000B0AEB">
      <w:pPr>
        <w:numPr>
          <w:ilvl w:val="0"/>
          <w:numId w:val="7"/>
        </w:numPr>
        <w:tabs>
          <w:tab w:val="left" w:pos="270"/>
        </w:tabs>
        <w:spacing w:after="120" w:line="240" w:lineRule="auto"/>
        <w:ind w:left="720"/>
        <w:jc w:val="both"/>
        <w:rPr>
          <w:sz w:val="24"/>
          <w:szCs w:val="24"/>
        </w:rPr>
      </w:pPr>
      <w:r w:rsidRPr="00391009">
        <w:rPr>
          <w:sz w:val="24"/>
          <w:szCs w:val="24"/>
        </w:rPr>
        <w:t xml:space="preserve">We traced and compared the debt information on Worksheet A to the financial statements. The first mortgage is an amortizing loan with interest at </w:t>
      </w:r>
      <w:r w:rsidR="009526E3" w:rsidRPr="00391009">
        <w:rPr>
          <w:color w:val="FF0000"/>
          <w:sz w:val="24"/>
          <w:szCs w:val="24"/>
        </w:rPr>
        <w:t>[___]</w:t>
      </w:r>
      <w:r w:rsidRPr="00391009">
        <w:rPr>
          <w:sz w:val="24"/>
          <w:szCs w:val="24"/>
        </w:rPr>
        <w:t xml:space="preserve"> </w:t>
      </w:r>
      <w:r w:rsidR="009526E3" w:rsidRPr="00391009">
        <w:rPr>
          <w:sz w:val="24"/>
          <w:szCs w:val="24"/>
        </w:rPr>
        <w:t xml:space="preserve">%. </w:t>
      </w:r>
      <w:r w:rsidRPr="00391009">
        <w:rPr>
          <w:sz w:val="24"/>
          <w:szCs w:val="24"/>
        </w:rPr>
        <w:t xml:space="preserve">We traced the balance of the first mortgage and accrued interest at </w:t>
      </w:r>
      <w:r w:rsidR="009526E3" w:rsidRPr="00391009">
        <w:rPr>
          <w:color w:val="FF0000"/>
          <w:sz w:val="24"/>
          <w:szCs w:val="24"/>
        </w:rPr>
        <w:t>[month, day, year]</w:t>
      </w:r>
      <w:r w:rsidR="009526E3" w:rsidRPr="00391009">
        <w:rPr>
          <w:sz w:val="24"/>
          <w:szCs w:val="24"/>
        </w:rPr>
        <w:t xml:space="preserve"> </w:t>
      </w:r>
      <w:r w:rsidRPr="00391009">
        <w:rPr>
          <w:sz w:val="24"/>
          <w:szCs w:val="24"/>
        </w:rPr>
        <w:t xml:space="preserve">to the year </w:t>
      </w:r>
      <w:r w:rsidR="00125831" w:rsidRPr="00391009">
        <w:rPr>
          <w:sz w:val="24"/>
          <w:szCs w:val="24"/>
        </w:rPr>
        <w:t xml:space="preserve">of </w:t>
      </w:r>
      <w:r w:rsidRPr="00391009">
        <w:rPr>
          <w:sz w:val="24"/>
          <w:szCs w:val="24"/>
        </w:rPr>
        <w:t>financial statements and</w:t>
      </w:r>
      <w:r w:rsidR="009526E3" w:rsidRPr="00391009">
        <w:rPr>
          <w:sz w:val="24"/>
          <w:szCs w:val="24"/>
        </w:rPr>
        <w:t xml:space="preserve"> a loan amortization schedule. </w:t>
      </w:r>
      <w:r w:rsidRPr="00391009">
        <w:rPr>
          <w:sz w:val="24"/>
          <w:szCs w:val="24"/>
        </w:rPr>
        <w:t xml:space="preserve">We found the balances on Worksheet A to </w:t>
      </w:r>
      <w:proofErr w:type="gramStart"/>
      <w:r w:rsidRPr="00391009">
        <w:rPr>
          <w:sz w:val="24"/>
          <w:szCs w:val="24"/>
        </w:rPr>
        <w:t>be in agreement</w:t>
      </w:r>
      <w:proofErr w:type="gramEnd"/>
      <w:r w:rsidRPr="00391009">
        <w:rPr>
          <w:sz w:val="24"/>
          <w:szCs w:val="24"/>
        </w:rPr>
        <w:t xml:space="preserve"> with the loan amortization schedule at</w:t>
      </w:r>
      <w:r w:rsidR="009526E3" w:rsidRPr="00391009">
        <w:rPr>
          <w:sz w:val="24"/>
          <w:szCs w:val="24"/>
        </w:rPr>
        <w:t xml:space="preserve"> </w:t>
      </w:r>
      <w:r w:rsidR="009526E3" w:rsidRPr="00391009">
        <w:rPr>
          <w:color w:val="FF0000"/>
          <w:sz w:val="24"/>
          <w:szCs w:val="24"/>
        </w:rPr>
        <w:t>[</w:t>
      </w:r>
      <w:r w:rsidRPr="00391009">
        <w:rPr>
          <w:color w:val="FF0000"/>
          <w:sz w:val="24"/>
          <w:szCs w:val="24"/>
        </w:rPr>
        <w:t>month</w:t>
      </w:r>
      <w:r w:rsidR="009526E3" w:rsidRPr="00391009">
        <w:rPr>
          <w:color w:val="FF0000"/>
          <w:sz w:val="24"/>
          <w:szCs w:val="24"/>
        </w:rPr>
        <w:t>,</w:t>
      </w:r>
      <w:r w:rsidRPr="00391009">
        <w:rPr>
          <w:color w:val="FF0000"/>
          <w:sz w:val="24"/>
          <w:szCs w:val="24"/>
        </w:rPr>
        <w:t xml:space="preserve"> day</w:t>
      </w:r>
      <w:r w:rsidR="009526E3" w:rsidRPr="00391009">
        <w:rPr>
          <w:color w:val="FF0000"/>
          <w:sz w:val="24"/>
          <w:szCs w:val="24"/>
        </w:rPr>
        <w:t>,</w:t>
      </w:r>
      <w:r w:rsidRPr="00391009">
        <w:rPr>
          <w:color w:val="FF0000"/>
          <w:sz w:val="24"/>
          <w:szCs w:val="24"/>
        </w:rPr>
        <w:t xml:space="preserve"> year</w:t>
      </w:r>
      <w:r w:rsidR="009526E3" w:rsidRPr="00391009">
        <w:rPr>
          <w:color w:val="FF0000"/>
          <w:sz w:val="24"/>
          <w:szCs w:val="24"/>
        </w:rPr>
        <w:t>]</w:t>
      </w:r>
      <w:r w:rsidRPr="00391009">
        <w:rPr>
          <w:sz w:val="24"/>
          <w:szCs w:val="24"/>
        </w:rPr>
        <w:t xml:space="preserve">. </w:t>
      </w:r>
    </w:p>
    <w:p w14:paraId="406B0B63" w14:textId="77777777" w:rsidR="000B097C" w:rsidRPr="00391009" w:rsidRDefault="000B097C" w:rsidP="000B0AEB">
      <w:pPr>
        <w:numPr>
          <w:ilvl w:val="0"/>
          <w:numId w:val="7"/>
        </w:numPr>
        <w:spacing w:after="120" w:line="240" w:lineRule="auto"/>
        <w:ind w:left="720"/>
        <w:jc w:val="both"/>
        <w:rPr>
          <w:sz w:val="24"/>
          <w:szCs w:val="24"/>
        </w:rPr>
      </w:pPr>
      <w:r w:rsidRPr="00391009">
        <w:rPr>
          <w:sz w:val="24"/>
          <w:szCs w:val="24"/>
        </w:rPr>
        <w:t xml:space="preserve">The second mortgage is a deferred loan with interest accruing at </w:t>
      </w:r>
      <w:r w:rsidR="009526E3" w:rsidRPr="00391009">
        <w:rPr>
          <w:color w:val="FF0000"/>
          <w:sz w:val="24"/>
          <w:szCs w:val="24"/>
        </w:rPr>
        <w:t>[___]</w:t>
      </w:r>
      <w:r w:rsidRPr="00391009">
        <w:rPr>
          <w:sz w:val="24"/>
          <w:szCs w:val="24"/>
        </w:rPr>
        <w:t xml:space="preserve"> </w:t>
      </w:r>
      <w:r w:rsidR="009526E3" w:rsidRPr="00391009">
        <w:rPr>
          <w:sz w:val="24"/>
          <w:szCs w:val="24"/>
        </w:rPr>
        <w:t xml:space="preserve">%. </w:t>
      </w:r>
      <w:r w:rsidRPr="00391009">
        <w:rPr>
          <w:sz w:val="24"/>
          <w:szCs w:val="24"/>
        </w:rPr>
        <w:t xml:space="preserve">We traced the balance of the second mortgage and accrued interest at </w:t>
      </w:r>
      <w:r w:rsidR="009526E3" w:rsidRPr="00391009">
        <w:rPr>
          <w:color w:val="FF0000"/>
          <w:sz w:val="24"/>
          <w:szCs w:val="24"/>
        </w:rPr>
        <w:t xml:space="preserve">[month, day, </w:t>
      </w:r>
      <w:r w:rsidRPr="00391009">
        <w:rPr>
          <w:color w:val="FF0000"/>
          <w:sz w:val="24"/>
          <w:szCs w:val="24"/>
        </w:rPr>
        <w:t>year</w:t>
      </w:r>
      <w:r w:rsidR="009526E3" w:rsidRPr="00391009">
        <w:rPr>
          <w:color w:val="FF0000"/>
          <w:sz w:val="24"/>
          <w:szCs w:val="24"/>
        </w:rPr>
        <w:t>]</w:t>
      </w:r>
      <w:r w:rsidR="009526E3" w:rsidRPr="00391009">
        <w:rPr>
          <w:sz w:val="24"/>
          <w:szCs w:val="24"/>
        </w:rPr>
        <w:t xml:space="preserve"> </w:t>
      </w:r>
      <w:r w:rsidRPr="00391009">
        <w:rPr>
          <w:sz w:val="24"/>
          <w:szCs w:val="24"/>
        </w:rPr>
        <w:t>to the year</w:t>
      </w:r>
      <w:r w:rsidR="00125831" w:rsidRPr="00391009">
        <w:rPr>
          <w:sz w:val="24"/>
          <w:szCs w:val="24"/>
        </w:rPr>
        <w:t xml:space="preserve"> of</w:t>
      </w:r>
      <w:r w:rsidRPr="00391009">
        <w:rPr>
          <w:sz w:val="24"/>
          <w:szCs w:val="24"/>
        </w:rPr>
        <w:t xml:space="preserve"> financial statements and recalculated accrued interest fo</w:t>
      </w:r>
      <w:r w:rsidR="00985443" w:rsidRPr="00391009">
        <w:rPr>
          <w:sz w:val="24"/>
          <w:szCs w:val="24"/>
        </w:rPr>
        <w:t xml:space="preserve">r the </w:t>
      </w:r>
      <w:r w:rsidRPr="00391009">
        <w:rPr>
          <w:sz w:val="24"/>
          <w:szCs w:val="24"/>
        </w:rPr>
        <w:t xml:space="preserve">year. We found the balances on Worksheet A to </w:t>
      </w:r>
      <w:proofErr w:type="gramStart"/>
      <w:r w:rsidRPr="00391009">
        <w:rPr>
          <w:sz w:val="24"/>
          <w:szCs w:val="24"/>
        </w:rPr>
        <w:t>be in agreement</w:t>
      </w:r>
      <w:proofErr w:type="gramEnd"/>
      <w:r w:rsidRPr="00391009">
        <w:rPr>
          <w:sz w:val="24"/>
          <w:szCs w:val="24"/>
        </w:rPr>
        <w:t xml:space="preserve"> with the financial statements and our calculation of accrued interest. </w:t>
      </w:r>
    </w:p>
    <w:p w14:paraId="65A09B52" w14:textId="77777777" w:rsidR="000B097C" w:rsidRPr="00391009" w:rsidRDefault="000B097C" w:rsidP="000B0AEB">
      <w:pPr>
        <w:pStyle w:val="ListParagraph"/>
        <w:numPr>
          <w:ilvl w:val="0"/>
          <w:numId w:val="7"/>
        </w:numPr>
        <w:spacing w:after="120" w:line="240" w:lineRule="auto"/>
        <w:ind w:left="720"/>
        <w:jc w:val="both"/>
        <w:rPr>
          <w:sz w:val="24"/>
          <w:szCs w:val="24"/>
        </w:rPr>
      </w:pPr>
      <w:r w:rsidRPr="00391009">
        <w:rPr>
          <w:sz w:val="24"/>
          <w:szCs w:val="24"/>
        </w:rPr>
        <w:t>(1) We traced and compared the investor equity information on Worksheet B to the financial statements and the Partnership Agreement.</w:t>
      </w:r>
      <w:r w:rsidR="009526E3" w:rsidRPr="00391009">
        <w:rPr>
          <w:sz w:val="24"/>
          <w:szCs w:val="24"/>
        </w:rPr>
        <w:t xml:space="preserve"> </w:t>
      </w:r>
      <w:r w:rsidRPr="00391009">
        <w:rPr>
          <w:sz w:val="24"/>
          <w:szCs w:val="24"/>
        </w:rPr>
        <w:t xml:space="preserve">We found investor equity on Worksheet B, from inception through </w:t>
      </w:r>
      <w:r w:rsidR="009526E3" w:rsidRPr="00391009">
        <w:rPr>
          <w:color w:val="FF0000"/>
          <w:sz w:val="24"/>
          <w:szCs w:val="24"/>
        </w:rPr>
        <w:t>[month, day, year]</w:t>
      </w:r>
      <w:r w:rsidRPr="00391009">
        <w:rPr>
          <w:sz w:val="24"/>
          <w:szCs w:val="24"/>
        </w:rPr>
        <w:t xml:space="preserve">, to </w:t>
      </w:r>
      <w:proofErr w:type="gramStart"/>
      <w:r w:rsidRPr="00391009">
        <w:rPr>
          <w:sz w:val="24"/>
          <w:szCs w:val="24"/>
        </w:rPr>
        <w:t>be in agreement</w:t>
      </w:r>
      <w:proofErr w:type="gramEnd"/>
      <w:r w:rsidRPr="00391009">
        <w:rPr>
          <w:sz w:val="24"/>
          <w:szCs w:val="24"/>
        </w:rPr>
        <w:t xml:space="preserve"> with the financial statements and Partnership Agreement</w:t>
      </w:r>
      <w:r w:rsidR="009526E3" w:rsidRPr="00391009">
        <w:rPr>
          <w:sz w:val="24"/>
          <w:szCs w:val="24"/>
        </w:rPr>
        <w:t xml:space="preserve">. </w:t>
      </w:r>
      <w:r w:rsidRPr="00391009">
        <w:rPr>
          <w:sz w:val="24"/>
          <w:szCs w:val="24"/>
        </w:rPr>
        <w:t xml:space="preserve">No investor capital contributions were expected in </w:t>
      </w:r>
      <w:r w:rsidR="00125831" w:rsidRPr="00391009">
        <w:rPr>
          <w:sz w:val="24"/>
          <w:szCs w:val="24"/>
        </w:rPr>
        <w:t xml:space="preserve">the </w:t>
      </w:r>
      <w:r w:rsidRPr="00391009">
        <w:rPr>
          <w:sz w:val="24"/>
          <w:szCs w:val="24"/>
        </w:rPr>
        <w:t>year.</w:t>
      </w:r>
    </w:p>
    <w:p w14:paraId="5D738822" w14:textId="77777777" w:rsidR="000B097C" w:rsidRPr="00391009" w:rsidRDefault="000B097C" w:rsidP="000B0AEB">
      <w:pPr>
        <w:spacing w:after="120" w:line="240" w:lineRule="auto"/>
        <w:ind w:left="720"/>
        <w:jc w:val="both"/>
        <w:rPr>
          <w:sz w:val="24"/>
          <w:szCs w:val="24"/>
        </w:rPr>
      </w:pPr>
      <w:r w:rsidRPr="00391009">
        <w:rPr>
          <w:sz w:val="24"/>
          <w:szCs w:val="24"/>
        </w:rPr>
        <w:t xml:space="preserve">(2) We traced and compared the </w:t>
      </w:r>
      <w:proofErr w:type="gramStart"/>
      <w:r w:rsidRPr="00391009">
        <w:rPr>
          <w:sz w:val="24"/>
          <w:szCs w:val="24"/>
        </w:rPr>
        <w:t>cost of living</w:t>
      </w:r>
      <w:proofErr w:type="gramEnd"/>
      <w:r w:rsidRPr="00391009">
        <w:rPr>
          <w:sz w:val="24"/>
          <w:szCs w:val="24"/>
        </w:rPr>
        <w:t xml:space="preserve"> increases on Worksheet B to the appropriate </w:t>
      </w:r>
      <w:r w:rsidR="00BF640C" w:rsidRPr="00391009">
        <w:rPr>
          <w:sz w:val="24"/>
          <w:szCs w:val="24"/>
        </w:rPr>
        <w:t>Consumer Price Index (</w:t>
      </w:r>
      <w:r w:rsidRPr="00391009">
        <w:rPr>
          <w:sz w:val="24"/>
          <w:szCs w:val="24"/>
        </w:rPr>
        <w:t>CPI</w:t>
      </w:r>
      <w:r w:rsidR="00BF640C" w:rsidRPr="00391009">
        <w:rPr>
          <w:sz w:val="24"/>
          <w:szCs w:val="24"/>
        </w:rPr>
        <w:t>)</w:t>
      </w:r>
      <w:r w:rsidRPr="00391009">
        <w:rPr>
          <w:sz w:val="24"/>
          <w:szCs w:val="24"/>
        </w:rPr>
        <w:t xml:space="preserve"> table (not to exceed 5% in any year)</w:t>
      </w:r>
      <w:r w:rsidR="009526E3" w:rsidRPr="00391009">
        <w:rPr>
          <w:sz w:val="24"/>
          <w:szCs w:val="24"/>
        </w:rPr>
        <w:t xml:space="preserve">. </w:t>
      </w:r>
      <w:r w:rsidRPr="00391009">
        <w:rPr>
          <w:sz w:val="24"/>
          <w:szCs w:val="24"/>
        </w:rPr>
        <w:t xml:space="preserve">We recomputed the </w:t>
      </w:r>
      <w:proofErr w:type="gramStart"/>
      <w:r w:rsidRPr="00391009">
        <w:rPr>
          <w:sz w:val="24"/>
          <w:szCs w:val="24"/>
        </w:rPr>
        <w:t>cost of livi</w:t>
      </w:r>
      <w:r w:rsidR="009526E3" w:rsidRPr="00391009">
        <w:rPr>
          <w:sz w:val="24"/>
          <w:szCs w:val="24"/>
        </w:rPr>
        <w:t>ng</w:t>
      </w:r>
      <w:proofErr w:type="gramEnd"/>
      <w:r w:rsidR="009526E3" w:rsidRPr="00391009">
        <w:rPr>
          <w:sz w:val="24"/>
          <w:szCs w:val="24"/>
        </w:rPr>
        <w:t xml:space="preserve"> adjustments on Worksheet B. </w:t>
      </w:r>
      <w:r w:rsidRPr="00391009">
        <w:rPr>
          <w:sz w:val="24"/>
          <w:szCs w:val="24"/>
        </w:rPr>
        <w:t xml:space="preserve">The appropriate adjustments are being </w:t>
      </w:r>
      <w:proofErr w:type="gramStart"/>
      <w:r w:rsidRPr="00391009">
        <w:rPr>
          <w:sz w:val="24"/>
          <w:szCs w:val="24"/>
        </w:rPr>
        <w:t>used</w:t>
      </w:r>
      <w:proofErr w:type="gramEnd"/>
      <w:r w:rsidRPr="00391009">
        <w:rPr>
          <w:sz w:val="24"/>
          <w:szCs w:val="24"/>
        </w:rPr>
        <w:t xml:space="preserve"> and the calculations are mathematically correct. The </w:t>
      </w:r>
      <w:r w:rsidR="009774A7" w:rsidRPr="00391009">
        <w:rPr>
          <w:sz w:val="24"/>
          <w:szCs w:val="24"/>
        </w:rPr>
        <w:t xml:space="preserve">Owner </w:t>
      </w:r>
      <w:r w:rsidRPr="00391009">
        <w:rPr>
          <w:sz w:val="24"/>
          <w:szCs w:val="24"/>
        </w:rPr>
        <w:t>assumed the year adjustment to be the same as year. The year adjustments have not yet been released.</w:t>
      </w:r>
    </w:p>
    <w:p w14:paraId="343A570B" w14:textId="77777777" w:rsidR="000B097C" w:rsidRPr="00391009" w:rsidRDefault="000B097C" w:rsidP="000B0AEB">
      <w:pPr>
        <w:numPr>
          <w:ilvl w:val="0"/>
          <w:numId w:val="7"/>
        </w:numPr>
        <w:spacing w:after="120" w:line="240" w:lineRule="auto"/>
        <w:ind w:left="720"/>
        <w:jc w:val="both"/>
        <w:rPr>
          <w:sz w:val="24"/>
          <w:szCs w:val="24"/>
        </w:rPr>
      </w:pPr>
      <w:r w:rsidRPr="00391009">
        <w:rPr>
          <w:sz w:val="24"/>
          <w:szCs w:val="24"/>
        </w:rPr>
        <w:t xml:space="preserve">We traced and compared other capital contributions on Worksheet C to the financial statements. We found other capital contributions on Worksheet C, from inception through </w:t>
      </w:r>
      <w:r w:rsidR="009526E3" w:rsidRPr="00391009">
        <w:rPr>
          <w:color w:val="FF0000"/>
          <w:sz w:val="24"/>
          <w:szCs w:val="24"/>
        </w:rPr>
        <w:t>[month, day, year]</w:t>
      </w:r>
      <w:r w:rsidRPr="00391009">
        <w:rPr>
          <w:sz w:val="24"/>
          <w:szCs w:val="24"/>
        </w:rPr>
        <w:t xml:space="preserve">, to </w:t>
      </w:r>
      <w:proofErr w:type="gramStart"/>
      <w:r w:rsidRPr="00391009">
        <w:rPr>
          <w:sz w:val="24"/>
          <w:szCs w:val="24"/>
        </w:rPr>
        <w:t>be in agreement</w:t>
      </w:r>
      <w:proofErr w:type="gramEnd"/>
      <w:r w:rsidRPr="00391009">
        <w:rPr>
          <w:sz w:val="24"/>
          <w:szCs w:val="24"/>
        </w:rPr>
        <w:t xml:space="preserve"> </w:t>
      </w:r>
      <w:r w:rsidR="009526E3" w:rsidRPr="00391009">
        <w:rPr>
          <w:sz w:val="24"/>
          <w:szCs w:val="24"/>
        </w:rPr>
        <w:t xml:space="preserve">with the financial statements. </w:t>
      </w:r>
      <w:r w:rsidRPr="00391009">
        <w:rPr>
          <w:sz w:val="24"/>
          <w:szCs w:val="24"/>
        </w:rPr>
        <w:t>No other capital contributions were expected in</w:t>
      </w:r>
      <w:r w:rsidR="00E7265C" w:rsidRPr="00391009">
        <w:rPr>
          <w:sz w:val="24"/>
          <w:szCs w:val="24"/>
        </w:rPr>
        <w:t xml:space="preserve"> </w:t>
      </w:r>
      <w:r w:rsidR="009526E3" w:rsidRPr="00391009">
        <w:rPr>
          <w:color w:val="FF0000"/>
          <w:sz w:val="24"/>
          <w:szCs w:val="24"/>
        </w:rPr>
        <w:t>[year]</w:t>
      </w:r>
      <w:r w:rsidRPr="00391009">
        <w:rPr>
          <w:sz w:val="24"/>
          <w:szCs w:val="24"/>
        </w:rPr>
        <w:t>.</w:t>
      </w:r>
    </w:p>
    <w:p w14:paraId="3D2A20E8" w14:textId="77777777" w:rsidR="000B097C" w:rsidRPr="00391009" w:rsidRDefault="005B26F0" w:rsidP="000B0AEB">
      <w:pPr>
        <w:spacing w:after="120" w:line="240" w:lineRule="auto"/>
        <w:ind w:left="720" w:hanging="360"/>
        <w:jc w:val="both"/>
        <w:rPr>
          <w:sz w:val="24"/>
          <w:szCs w:val="24"/>
        </w:rPr>
      </w:pPr>
      <w:r w:rsidRPr="00391009">
        <w:rPr>
          <w:sz w:val="24"/>
          <w:szCs w:val="24"/>
        </w:rPr>
        <w:t>e.</w:t>
      </w:r>
      <w:r w:rsidR="000B097C" w:rsidRPr="00391009">
        <w:rPr>
          <w:sz w:val="24"/>
          <w:szCs w:val="24"/>
        </w:rPr>
        <w:tab/>
        <w:t>(1) We traced and compared cash distributions in Section A of Worksheet D to the financial statements and tax returns.</w:t>
      </w:r>
      <w:r w:rsidR="009526E3" w:rsidRPr="00391009">
        <w:rPr>
          <w:sz w:val="24"/>
          <w:szCs w:val="24"/>
        </w:rPr>
        <w:t xml:space="preserve"> </w:t>
      </w:r>
      <w:r w:rsidR="000B097C" w:rsidRPr="00391009">
        <w:rPr>
          <w:sz w:val="24"/>
          <w:szCs w:val="24"/>
        </w:rPr>
        <w:t xml:space="preserve">We found cash distributions in Section A of Worksheet D from inception through </w:t>
      </w:r>
      <w:r w:rsidR="009526E3" w:rsidRPr="00391009">
        <w:rPr>
          <w:color w:val="FF0000"/>
          <w:sz w:val="24"/>
          <w:szCs w:val="24"/>
        </w:rPr>
        <w:t xml:space="preserve">[month, day, </w:t>
      </w:r>
      <w:r w:rsidR="000B097C" w:rsidRPr="00391009">
        <w:rPr>
          <w:color w:val="FF0000"/>
          <w:sz w:val="24"/>
          <w:szCs w:val="24"/>
        </w:rPr>
        <w:t>year</w:t>
      </w:r>
      <w:r w:rsidR="009526E3" w:rsidRPr="00391009">
        <w:rPr>
          <w:color w:val="FF0000"/>
          <w:sz w:val="24"/>
          <w:szCs w:val="24"/>
        </w:rPr>
        <w:t>]</w:t>
      </w:r>
      <w:r w:rsidR="000B097C" w:rsidRPr="00391009">
        <w:rPr>
          <w:sz w:val="24"/>
          <w:szCs w:val="24"/>
        </w:rPr>
        <w:t xml:space="preserve"> to </w:t>
      </w:r>
      <w:proofErr w:type="gramStart"/>
      <w:r w:rsidR="000B097C" w:rsidRPr="00391009">
        <w:rPr>
          <w:sz w:val="24"/>
          <w:szCs w:val="24"/>
        </w:rPr>
        <w:t>be in agreement</w:t>
      </w:r>
      <w:proofErr w:type="gramEnd"/>
      <w:r w:rsidR="000B097C" w:rsidRPr="00391009">
        <w:rPr>
          <w:sz w:val="24"/>
          <w:szCs w:val="24"/>
        </w:rPr>
        <w:t xml:space="preserve"> with the financial statements and tax returns. No distributions were expected in</w:t>
      </w:r>
      <w:r w:rsidR="00125831" w:rsidRPr="00391009">
        <w:rPr>
          <w:sz w:val="24"/>
          <w:szCs w:val="24"/>
        </w:rPr>
        <w:t xml:space="preserve"> the</w:t>
      </w:r>
      <w:r w:rsidR="000B097C" w:rsidRPr="00391009">
        <w:rPr>
          <w:sz w:val="24"/>
          <w:szCs w:val="24"/>
        </w:rPr>
        <w:t xml:space="preserve"> year.</w:t>
      </w:r>
    </w:p>
    <w:p w14:paraId="143D2AF1" w14:textId="77777777" w:rsidR="000B097C" w:rsidRPr="00391009" w:rsidRDefault="000B097C" w:rsidP="000B0AEB">
      <w:pPr>
        <w:spacing w:after="120" w:line="240" w:lineRule="auto"/>
        <w:ind w:left="720"/>
        <w:jc w:val="both"/>
        <w:rPr>
          <w:sz w:val="24"/>
          <w:szCs w:val="24"/>
        </w:rPr>
      </w:pPr>
      <w:r w:rsidRPr="00391009">
        <w:rPr>
          <w:sz w:val="24"/>
          <w:szCs w:val="24"/>
        </w:rPr>
        <w:lastRenderedPageBreak/>
        <w:t xml:space="preserve">(2) We traced and compared the cash balances in Section B of Worksheet D to the financial statements. Cash balances at </w:t>
      </w:r>
      <w:r w:rsidR="009526E3" w:rsidRPr="00391009">
        <w:rPr>
          <w:color w:val="FF0000"/>
          <w:sz w:val="24"/>
          <w:szCs w:val="24"/>
        </w:rPr>
        <w:t xml:space="preserve">[month, day, </w:t>
      </w:r>
      <w:r w:rsidRPr="00391009">
        <w:rPr>
          <w:color w:val="FF0000"/>
          <w:sz w:val="24"/>
          <w:szCs w:val="24"/>
        </w:rPr>
        <w:t>year)</w:t>
      </w:r>
      <w:r w:rsidRPr="00391009">
        <w:rPr>
          <w:sz w:val="24"/>
          <w:szCs w:val="24"/>
        </w:rPr>
        <w:t xml:space="preserve"> totaled </w:t>
      </w:r>
      <w:r w:rsidRPr="00391009">
        <w:rPr>
          <w:color w:val="000000" w:themeColor="text1"/>
          <w:sz w:val="24"/>
          <w:szCs w:val="24"/>
        </w:rPr>
        <w:t>$</w:t>
      </w:r>
      <w:r w:rsidR="009526E3" w:rsidRPr="00391009">
        <w:rPr>
          <w:color w:val="FF0000"/>
          <w:sz w:val="24"/>
          <w:szCs w:val="24"/>
        </w:rPr>
        <w:t>[_____]</w:t>
      </w:r>
      <w:r w:rsidRPr="00391009">
        <w:rPr>
          <w:sz w:val="24"/>
          <w:szCs w:val="24"/>
        </w:rPr>
        <w:t xml:space="preserve">. Cash balances estimated at </w:t>
      </w:r>
      <w:r w:rsidR="009526E3" w:rsidRPr="00391009">
        <w:rPr>
          <w:color w:val="FF0000"/>
          <w:sz w:val="24"/>
          <w:szCs w:val="24"/>
        </w:rPr>
        <w:t xml:space="preserve">[month, day, </w:t>
      </w:r>
      <w:r w:rsidRPr="00391009">
        <w:rPr>
          <w:color w:val="FF0000"/>
          <w:sz w:val="24"/>
          <w:szCs w:val="24"/>
        </w:rPr>
        <w:t>year)</w:t>
      </w:r>
      <w:r w:rsidRPr="00391009">
        <w:rPr>
          <w:sz w:val="24"/>
          <w:szCs w:val="24"/>
        </w:rPr>
        <w:t xml:space="preserve"> totaled $</w:t>
      </w:r>
      <w:r w:rsidR="009526E3" w:rsidRPr="00391009">
        <w:rPr>
          <w:color w:val="FF0000"/>
          <w:sz w:val="24"/>
          <w:szCs w:val="24"/>
        </w:rPr>
        <w:t>[_____]</w:t>
      </w:r>
      <w:r w:rsidR="009526E3" w:rsidRPr="00391009">
        <w:rPr>
          <w:sz w:val="24"/>
          <w:szCs w:val="24"/>
        </w:rPr>
        <w:t xml:space="preserve">. </w:t>
      </w:r>
      <w:r w:rsidRPr="00391009">
        <w:rPr>
          <w:sz w:val="24"/>
          <w:szCs w:val="24"/>
        </w:rPr>
        <w:t>Cash available for distribution was expected to be $</w:t>
      </w:r>
      <w:r w:rsidR="009526E3" w:rsidRPr="00391009">
        <w:rPr>
          <w:color w:val="FF0000"/>
          <w:sz w:val="24"/>
          <w:szCs w:val="24"/>
        </w:rPr>
        <w:t>[____]</w:t>
      </w:r>
      <w:r w:rsidRPr="00391009">
        <w:rPr>
          <w:sz w:val="24"/>
          <w:szCs w:val="24"/>
        </w:rPr>
        <w:t>.</w:t>
      </w:r>
    </w:p>
    <w:p w14:paraId="09A51E0B" w14:textId="77777777" w:rsidR="000B097C" w:rsidRPr="00391009" w:rsidRDefault="000B097C" w:rsidP="005B26F0">
      <w:pPr>
        <w:pStyle w:val="ListParagraph"/>
        <w:numPr>
          <w:ilvl w:val="0"/>
          <w:numId w:val="3"/>
        </w:numPr>
        <w:spacing w:after="0" w:line="240" w:lineRule="auto"/>
        <w:ind w:left="720"/>
        <w:jc w:val="both"/>
        <w:rPr>
          <w:sz w:val="24"/>
          <w:szCs w:val="24"/>
        </w:rPr>
      </w:pPr>
      <w:r w:rsidRPr="00391009">
        <w:rPr>
          <w:sz w:val="24"/>
          <w:szCs w:val="24"/>
        </w:rPr>
        <w:t>We traced and compared the fair</w:t>
      </w:r>
      <w:r w:rsidR="009526E3" w:rsidRPr="00391009">
        <w:rPr>
          <w:sz w:val="24"/>
          <w:szCs w:val="24"/>
        </w:rPr>
        <w:t xml:space="preserve"> </w:t>
      </w:r>
      <w:r w:rsidRPr="00391009">
        <w:rPr>
          <w:sz w:val="24"/>
          <w:szCs w:val="24"/>
        </w:rPr>
        <w:t>market value of the non-</w:t>
      </w:r>
      <w:proofErr w:type="gramStart"/>
      <w:r w:rsidRPr="00391009">
        <w:rPr>
          <w:sz w:val="24"/>
          <w:szCs w:val="24"/>
        </w:rPr>
        <w:t>low income</w:t>
      </w:r>
      <w:proofErr w:type="gramEnd"/>
      <w:r w:rsidRPr="00391009">
        <w:rPr>
          <w:sz w:val="24"/>
          <w:szCs w:val="24"/>
        </w:rPr>
        <w:t xml:space="preserve"> portion of the building(s)</w:t>
      </w:r>
      <w:r w:rsidR="00D87FAE" w:rsidRPr="00391009">
        <w:rPr>
          <w:sz w:val="24"/>
          <w:szCs w:val="24"/>
        </w:rPr>
        <w:t>,</w:t>
      </w:r>
      <w:r w:rsidRPr="00391009">
        <w:rPr>
          <w:sz w:val="24"/>
          <w:szCs w:val="24"/>
        </w:rPr>
        <w:t xml:space="preserve"> including land on Worksheet E</w:t>
      </w:r>
      <w:r w:rsidR="00D87FAE" w:rsidRPr="00391009">
        <w:rPr>
          <w:sz w:val="24"/>
          <w:szCs w:val="24"/>
        </w:rPr>
        <w:t>,</w:t>
      </w:r>
      <w:r w:rsidRPr="00391009">
        <w:rPr>
          <w:sz w:val="24"/>
          <w:szCs w:val="24"/>
        </w:rPr>
        <w:t xml:space="preserve"> to an appraisal or other supporting documentation.</w:t>
      </w:r>
      <w:r w:rsidR="009526E3" w:rsidRPr="00391009">
        <w:rPr>
          <w:sz w:val="24"/>
          <w:szCs w:val="24"/>
        </w:rPr>
        <w:t xml:space="preserve"> </w:t>
      </w:r>
      <w:r w:rsidRPr="00391009">
        <w:rPr>
          <w:sz w:val="24"/>
          <w:szCs w:val="24"/>
        </w:rPr>
        <w:t xml:space="preserve">We found them to </w:t>
      </w:r>
      <w:proofErr w:type="gramStart"/>
      <w:r w:rsidRPr="00391009">
        <w:rPr>
          <w:sz w:val="24"/>
          <w:szCs w:val="24"/>
        </w:rPr>
        <w:t>be in agreement</w:t>
      </w:r>
      <w:proofErr w:type="gramEnd"/>
      <w:r w:rsidRPr="00391009">
        <w:rPr>
          <w:sz w:val="24"/>
          <w:szCs w:val="24"/>
        </w:rPr>
        <w:t>.</w:t>
      </w:r>
    </w:p>
    <w:p w14:paraId="1E7E5235" w14:textId="77777777" w:rsidR="000B097C" w:rsidRPr="00391009" w:rsidRDefault="000B097C" w:rsidP="000B097C">
      <w:pPr>
        <w:spacing w:after="0" w:line="240" w:lineRule="auto"/>
        <w:jc w:val="both"/>
        <w:rPr>
          <w:sz w:val="24"/>
          <w:szCs w:val="24"/>
        </w:rPr>
      </w:pPr>
    </w:p>
    <w:p w14:paraId="6F24764B" w14:textId="77777777" w:rsidR="000B097C" w:rsidRPr="00391009" w:rsidRDefault="000B097C" w:rsidP="000B097C">
      <w:pPr>
        <w:numPr>
          <w:ilvl w:val="0"/>
          <w:numId w:val="4"/>
        </w:numPr>
        <w:spacing w:after="0" w:line="240" w:lineRule="auto"/>
        <w:jc w:val="both"/>
        <w:rPr>
          <w:sz w:val="24"/>
          <w:szCs w:val="24"/>
        </w:rPr>
      </w:pPr>
      <w:r w:rsidRPr="00391009">
        <w:rPr>
          <w:sz w:val="24"/>
          <w:szCs w:val="24"/>
        </w:rPr>
        <w:t>We traced and compared the applicable frac</w:t>
      </w:r>
      <w:r w:rsidR="009526E3" w:rsidRPr="00391009">
        <w:rPr>
          <w:sz w:val="24"/>
          <w:szCs w:val="24"/>
        </w:rPr>
        <w:t xml:space="preserve">tion on Form QC-1 to the LURA. </w:t>
      </w:r>
      <w:r w:rsidRPr="00391009">
        <w:rPr>
          <w:sz w:val="24"/>
          <w:szCs w:val="24"/>
        </w:rPr>
        <w:t xml:space="preserve">We found them to </w:t>
      </w:r>
      <w:proofErr w:type="gramStart"/>
      <w:r w:rsidRPr="00391009">
        <w:rPr>
          <w:sz w:val="24"/>
          <w:szCs w:val="24"/>
        </w:rPr>
        <w:t>be in agreement</w:t>
      </w:r>
      <w:proofErr w:type="gramEnd"/>
      <w:r w:rsidRPr="00391009">
        <w:rPr>
          <w:sz w:val="24"/>
          <w:szCs w:val="24"/>
        </w:rPr>
        <w:t>.</w:t>
      </w:r>
    </w:p>
    <w:p w14:paraId="64DB208B" w14:textId="77777777" w:rsidR="000B097C" w:rsidRPr="00391009" w:rsidRDefault="000B097C" w:rsidP="000B097C">
      <w:pPr>
        <w:spacing w:after="0" w:line="240" w:lineRule="auto"/>
        <w:jc w:val="both"/>
        <w:rPr>
          <w:sz w:val="24"/>
          <w:szCs w:val="24"/>
        </w:rPr>
      </w:pPr>
    </w:p>
    <w:p w14:paraId="457C53BB" w14:textId="77777777" w:rsidR="000B097C" w:rsidRDefault="000B097C" w:rsidP="000B097C">
      <w:pPr>
        <w:numPr>
          <w:ilvl w:val="0"/>
          <w:numId w:val="4"/>
        </w:numPr>
        <w:spacing w:after="0" w:line="240" w:lineRule="auto"/>
        <w:jc w:val="both"/>
        <w:rPr>
          <w:sz w:val="24"/>
          <w:szCs w:val="24"/>
        </w:rPr>
      </w:pPr>
      <w:r w:rsidRPr="00391009">
        <w:rPr>
          <w:sz w:val="24"/>
          <w:szCs w:val="24"/>
        </w:rPr>
        <w:t xml:space="preserve">We traced and compared the amounts from Worksheets A – E to Form QC-1 and recalculated the Qualified Contract Price. We found the calculations to be mathematically correct and in compliance with Section 42(h)(6)(F) of the </w:t>
      </w:r>
      <w:r w:rsidR="008073F0" w:rsidRPr="00391009">
        <w:rPr>
          <w:sz w:val="24"/>
          <w:szCs w:val="24"/>
        </w:rPr>
        <w:t>IRC</w:t>
      </w:r>
      <w:r w:rsidRPr="00391009">
        <w:rPr>
          <w:sz w:val="24"/>
          <w:szCs w:val="24"/>
        </w:rPr>
        <w:t>, CFR 1.42-18 and Minnesota Housing’s Qualified Contract Process Guide.</w:t>
      </w:r>
    </w:p>
    <w:p w14:paraId="4DA5019A" w14:textId="77777777" w:rsidR="00811969" w:rsidRPr="00391009" w:rsidRDefault="00811969" w:rsidP="00811969">
      <w:pPr>
        <w:spacing w:after="0" w:line="240" w:lineRule="auto"/>
        <w:jc w:val="both"/>
        <w:rPr>
          <w:sz w:val="24"/>
          <w:szCs w:val="24"/>
        </w:rPr>
      </w:pPr>
    </w:p>
    <w:p w14:paraId="4E3B5486" w14:textId="77777777" w:rsidR="000B097C" w:rsidRPr="00391009" w:rsidRDefault="000B097C" w:rsidP="000B097C">
      <w:pPr>
        <w:spacing w:after="0" w:line="240" w:lineRule="auto"/>
        <w:jc w:val="both"/>
        <w:rPr>
          <w:sz w:val="24"/>
          <w:szCs w:val="24"/>
        </w:rPr>
      </w:pPr>
      <w:r w:rsidRPr="00391009">
        <w:rPr>
          <w:sz w:val="24"/>
          <w:szCs w:val="24"/>
        </w:rPr>
        <w:t>We were not engaged to, and did not conduct</w:t>
      </w:r>
      <w:r w:rsidR="00D87FAE" w:rsidRPr="00391009">
        <w:rPr>
          <w:sz w:val="24"/>
          <w:szCs w:val="24"/>
        </w:rPr>
        <w:t>,</w:t>
      </w:r>
      <w:r w:rsidRPr="00391009">
        <w:rPr>
          <w:sz w:val="24"/>
          <w:szCs w:val="24"/>
        </w:rPr>
        <w:t xml:space="preserve"> an examination, the objective of which would be the expression of an opinion on compliance</w:t>
      </w:r>
      <w:r w:rsidR="009526E3" w:rsidRPr="00391009">
        <w:rPr>
          <w:sz w:val="24"/>
          <w:szCs w:val="24"/>
        </w:rPr>
        <w:t xml:space="preserve">. </w:t>
      </w:r>
      <w:r w:rsidRPr="00391009">
        <w:rPr>
          <w:sz w:val="24"/>
          <w:szCs w:val="24"/>
        </w:rPr>
        <w:t>Accordingly, we d</w:t>
      </w:r>
      <w:r w:rsidR="009526E3" w:rsidRPr="00391009">
        <w:rPr>
          <w:sz w:val="24"/>
          <w:szCs w:val="24"/>
        </w:rPr>
        <w:t xml:space="preserve">o not express such an opinion. </w:t>
      </w:r>
      <w:r w:rsidRPr="00391009">
        <w:rPr>
          <w:sz w:val="24"/>
          <w:szCs w:val="24"/>
        </w:rPr>
        <w:t>Had we performed additional procedures, other matters might have come to our attention that would have been reported to you.</w:t>
      </w:r>
    </w:p>
    <w:p w14:paraId="552681E1" w14:textId="77777777" w:rsidR="000B097C" w:rsidRPr="00391009" w:rsidRDefault="000B097C" w:rsidP="000B097C">
      <w:pPr>
        <w:spacing w:after="0" w:line="240" w:lineRule="auto"/>
        <w:jc w:val="both"/>
        <w:rPr>
          <w:sz w:val="24"/>
          <w:szCs w:val="24"/>
        </w:rPr>
      </w:pPr>
    </w:p>
    <w:p w14:paraId="41516F7A" w14:textId="7A0FF4E4" w:rsidR="000B097C" w:rsidRPr="00391009" w:rsidRDefault="000B097C" w:rsidP="000B097C">
      <w:pPr>
        <w:spacing w:after="0" w:line="240" w:lineRule="auto"/>
        <w:jc w:val="both"/>
        <w:rPr>
          <w:sz w:val="24"/>
          <w:szCs w:val="24"/>
        </w:rPr>
      </w:pPr>
      <w:r w:rsidRPr="00391009">
        <w:rPr>
          <w:sz w:val="24"/>
          <w:szCs w:val="24"/>
        </w:rPr>
        <w:t xml:space="preserve">This report is intended solely for the information and use of the </w:t>
      </w:r>
      <w:r w:rsidR="009774A7" w:rsidRPr="00391009">
        <w:rPr>
          <w:sz w:val="24"/>
          <w:szCs w:val="24"/>
        </w:rPr>
        <w:t xml:space="preserve">Owner </w:t>
      </w:r>
      <w:r w:rsidRPr="00391009">
        <w:rPr>
          <w:sz w:val="24"/>
          <w:szCs w:val="24"/>
        </w:rPr>
        <w:t>and Minnesota Housing and is not intended to be</w:t>
      </w:r>
      <w:r w:rsidR="00356A2E">
        <w:rPr>
          <w:sz w:val="24"/>
          <w:szCs w:val="24"/>
        </w:rPr>
        <w:t>,</w:t>
      </w:r>
      <w:r w:rsidRPr="00391009">
        <w:rPr>
          <w:sz w:val="24"/>
          <w:szCs w:val="24"/>
        </w:rPr>
        <w:t xml:space="preserve"> and should not be</w:t>
      </w:r>
      <w:r w:rsidR="00356A2E">
        <w:rPr>
          <w:sz w:val="24"/>
          <w:szCs w:val="24"/>
        </w:rPr>
        <w:t>,</w:t>
      </w:r>
      <w:r w:rsidRPr="00391009">
        <w:rPr>
          <w:sz w:val="24"/>
          <w:szCs w:val="24"/>
        </w:rPr>
        <w:t xml:space="preserve"> used by anyone other than these specified parties.</w:t>
      </w:r>
    </w:p>
    <w:p w14:paraId="6C2E73E2" w14:textId="77777777" w:rsidR="000B097C" w:rsidRPr="00391009" w:rsidRDefault="000B097C" w:rsidP="000B097C">
      <w:pPr>
        <w:spacing w:after="0" w:line="240" w:lineRule="auto"/>
        <w:jc w:val="both"/>
        <w:rPr>
          <w:sz w:val="24"/>
          <w:szCs w:val="24"/>
        </w:rPr>
      </w:pPr>
    </w:p>
    <w:p w14:paraId="4D2099C4" w14:textId="77777777" w:rsidR="000B097C" w:rsidRPr="00391009" w:rsidRDefault="000B097C" w:rsidP="000B097C">
      <w:pPr>
        <w:spacing w:after="0" w:line="240" w:lineRule="auto"/>
        <w:jc w:val="both"/>
        <w:rPr>
          <w:sz w:val="24"/>
          <w:szCs w:val="24"/>
        </w:rPr>
      </w:pPr>
      <w:r w:rsidRPr="00391009">
        <w:rPr>
          <w:sz w:val="24"/>
          <w:szCs w:val="24"/>
        </w:rPr>
        <w:t xml:space="preserve">Notwithstanding the foregoing, we acknowledge that this report is subject to access and review by other persons in accordance with the Minnesota Government Data Practices Act (Minnesota Statutes Chapter 13). </w:t>
      </w:r>
    </w:p>
    <w:p w14:paraId="76B7C6FF" w14:textId="77777777" w:rsidR="000B097C" w:rsidRPr="00391009" w:rsidRDefault="000B097C" w:rsidP="000B097C">
      <w:pPr>
        <w:spacing w:after="0" w:line="240" w:lineRule="auto"/>
        <w:jc w:val="both"/>
        <w:rPr>
          <w:sz w:val="24"/>
          <w:szCs w:val="24"/>
        </w:rPr>
      </w:pPr>
    </w:p>
    <w:p w14:paraId="035A19D4" w14:textId="77777777" w:rsidR="000B097C" w:rsidRPr="00391009" w:rsidRDefault="000B097C" w:rsidP="000B097C">
      <w:pPr>
        <w:spacing w:after="0" w:line="240" w:lineRule="auto"/>
        <w:jc w:val="both"/>
        <w:rPr>
          <w:sz w:val="24"/>
          <w:szCs w:val="24"/>
        </w:rPr>
      </w:pPr>
    </w:p>
    <w:tbl>
      <w:tblPr>
        <w:tblStyle w:val="TableGrid"/>
        <w:tblW w:w="0" w:type="auto"/>
        <w:tblInd w:w="108" w:type="dxa"/>
        <w:tblLook w:val="04A0" w:firstRow="1" w:lastRow="0" w:firstColumn="1" w:lastColumn="0" w:noHBand="0" w:noVBand="1"/>
      </w:tblPr>
      <w:tblGrid>
        <w:gridCol w:w="3198"/>
        <w:gridCol w:w="2931"/>
        <w:gridCol w:w="2979"/>
      </w:tblGrid>
      <w:tr w:rsidR="0022413C" w:rsidRPr="00391009" w14:paraId="01C337FD" w14:textId="77777777" w:rsidTr="0022413C">
        <w:trPr>
          <w:trHeight w:val="432"/>
        </w:trPr>
        <w:tc>
          <w:tcPr>
            <w:tcW w:w="3198" w:type="dxa"/>
            <w:tcBorders>
              <w:top w:val="nil"/>
              <w:left w:val="nil"/>
              <w:right w:val="nil"/>
            </w:tcBorders>
            <w:vAlign w:val="center"/>
          </w:tcPr>
          <w:bookmarkStart w:id="1" w:name="Text330"/>
          <w:p w14:paraId="329D90CA" w14:textId="77777777" w:rsidR="0022413C" w:rsidRPr="00391009" w:rsidRDefault="0022413C" w:rsidP="002C255A">
            <w:pPr>
              <w:rPr>
                <w:rFonts w:cs="Verdana"/>
                <w:sz w:val="24"/>
                <w:szCs w:val="24"/>
              </w:rPr>
            </w:pPr>
            <w:r w:rsidRPr="00391009">
              <w:rPr>
                <w:rFonts w:cs="Verdana"/>
                <w:sz w:val="24"/>
                <w:szCs w:val="24"/>
              </w:rPr>
              <w:fldChar w:fldCharType="begin">
                <w:ffData>
                  <w:name w:val="Text330"/>
                  <w:enabled/>
                  <w:calcOnExit w:val="0"/>
                  <w:textInput/>
                </w:ffData>
              </w:fldChar>
            </w:r>
            <w:r w:rsidRPr="00391009">
              <w:rPr>
                <w:rFonts w:cs="Verdana"/>
                <w:sz w:val="24"/>
                <w:szCs w:val="24"/>
              </w:rPr>
              <w:instrText xml:space="preserve"> FORMTEXT </w:instrText>
            </w:r>
            <w:r w:rsidRPr="00391009">
              <w:rPr>
                <w:rFonts w:cs="Verdana"/>
                <w:sz w:val="24"/>
                <w:szCs w:val="24"/>
              </w:rPr>
            </w:r>
            <w:r w:rsidRPr="00391009">
              <w:rPr>
                <w:rFonts w:cs="Verdana"/>
                <w:sz w:val="24"/>
                <w:szCs w:val="24"/>
              </w:rPr>
              <w:fldChar w:fldCharType="separate"/>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fldChar w:fldCharType="end"/>
            </w:r>
            <w:bookmarkEnd w:id="1"/>
          </w:p>
        </w:tc>
        <w:tc>
          <w:tcPr>
            <w:tcW w:w="2931" w:type="dxa"/>
            <w:tcBorders>
              <w:top w:val="nil"/>
              <w:left w:val="nil"/>
              <w:right w:val="nil"/>
            </w:tcBorders>
            <w:vAlign w:val="center"/>
          </w:tcPr>
          <w:p w14:paraId="61C866C1" w14:textId="77777777" w:rsidR="0022413C" w:rsidRPr="00391009" w:rsidRDefault="0022413C" w:rsidP="002C255A">
            <w:pPr>
              <w:ind w:left="360"/>
              <w:rPr>
                <w:rFonts w:cs="Verdana"/>
                <w:sz w:val="24"/>
                <w:szCs w:val="24"/>
              </w:rPr>
            </w:pPr>
          </w:p>
        </w:tc>
        <w:tc>
          <w:tcPr>
            <w:tcW w:w="2979" w:type="dxa"/>
            <w:tcBorders>
              <w:top w:val="nil"/>
              <w:left w:val="nil"/>
              <w:right w:val="nil"/>
            </w:tcBorders>
            <w:vAlign w:val="center"/>
          </w:tcPr>
          <w:p w14:paraId="601ADDFE" w14:textId="77777777" w:rsidR="0022413C" w:rsidRPr="00391009" w:rsidRDefault="0022413C" w:rsidP="002C255A">
            <w:pPr>
              <w:ind w:left="360"/>
              <w:rPr>
                <w:rFonts w:cs="Verdana"/>
                <w:sz w:val="24"/>
                <w:szCs w:val="24"/>
              </w:rPr>
            </w:pPr>
            <w:r w:rsidRPr="00391009">
              <w:rPr>
                <w:rFonts w:cs="Verdana"/>
                <w:sz w:val="24"/>
                <w:szCs w:val="24"/>
              </w:rPr>
              <w:fldChar w:fldCharType="begin">
                <w:ffData>
                  <w:name w:val="Text330"/>
                  <w:enabled/>
                  <w:calcOnExit w:val="0"/>
                  <w:textInput/>
                </w:ffData>
              </w:fldChar>
            </w:r>
            <w:r w:rsidRPr="00391009">
              <w:rPr>
                <w:rFonts w:cs="Verdana"/>
                <w:sz w:val="24"/>
                <w:szCs w:val="24"/>
              </w:rPr>
              <w:instrText xml:space="preserve"> FORMTEXT </w:instrText>
            </w:r>
            <w:r w:rsidRPr="00391009">
              <w:rPr>
                <w:rFonts w:cs="Verdana"/>
                <w:sz w:val="24"/>
                <w:szCs w:val="24"/>
              </w:rPr>
            </w:r>
            <w:r w:rsidRPr="00391009">
              <w:rPr>
                <w:rFonts w:cs="Verdana"/>
                <w:sz w:val="24"/>
                <w:szCs w:val="24"/>
              </w:rPr>
              <w:fldChar w:fldCharType="separate"/>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fldChar w:fldCharType="end"/>
            </w:r>
          </w:p>
        </w:tc>
      </w:tr>
      <w:tr w:rsidR="0022413C" w:rsidRPr="00391009" w14:paraId="76AADBA7" w14:textId="77777777" w:rsidTr="00870004">
        <w:trPr>
          <w:trHeight w:val="432"/>
        </w:trPr>
        <w:tc>
          <w:tcPr>
            <w:tcW w:w="3198" w:type="dxa"/>
            <w:tcBorders>
              <w:left w:val="nil"/>
              <w:bottom w:val="nil"/>
              <w:right w:val="nil"/>
            </w:tcBorders>
            <w:vAlign w:val="center"/>
          </w:tcPr>
          <w:p w14:paraId="394788CD" w14:textId="77777777" w:rsidR="0022413C" w:rsidRPr="00391009" w:rsidRDefault="0022413C" w:rsidP="00870004">
            <w:pPr>
              <w:rPr>
                <w:rFonts w:cs="Verdana"/>
                <w:sz w:val="24"/>
                <w:szCs w:val="24"/>
              </w:rPr>
            </w:pPr>
            <w:r w:rsidRPr="00391009">
              <w:rPr>
                <w:rFonts w:cs="Verdana"/>
                <w:sz w:val="24"/>
                <w:szCs w:val="24"/>
              </w:rPr>
              <w:t>Name of Independent Accounting Firm</w:t>
            </w:r>
          </w:p>
        </w:tc>
        <w:tc>
          <w:tcPr>
            <w:tcW w:w="2931" w:type="dxa"/>
            <w:tcBorders>
              <w:left w:val="nil"/>
              <w:bottom w:val="nil"/>
              <w:right w:val="nil"/>
            </w:tcBorders>
            <w:vAlign w:val="center"/>
          </w:tcPr>
          <w:p w14:paraId="0857FA8B" w14:textId="77777777" w:rsidR="0022413C" w:rsidRPr="00391009" w:rsidRDefault="0022413C" w:rsidP="002C255A">
            <w:pPr>
              <w:ind w:left="360"/>
              <w:rPr>
                <w:rFonts w:cs="Verdana"/>
                <w:sz w:val="24"/>
                <w:szCs w:val="24"/>
              </w:rPr>
            </w:pPr>
          </w:p>
        </w:tc>
        <w:tc>
          <w:tcPr>
            <w:tcW w:w="2979" w:type="dxa"/>
            <w:tcBorders>
              <w:left w:val="nil"/>
              <w:bottom w:val="nil"/>
              <w:right w:val="nil"/>
            </w:tcBorders>
          </w:tcPr>
          <w:p w14:paraId="3233575A" w14:textId="77777777" w:rsidR="0022413C" w:rsidRPr="00391009" w:rsidRDefault="0022413C" w:rsidP="00870004">
            <w:pPr>
              <w:ind w:left="360"/>
              <w:rPr>
                <w:rFonts w:cs="Verdana"/>
                <w:sz w:val="24"/>
                <w:szCs w:val="24"/>
              </w:rPr>
            </w:pPr>
            <w:r w:rsidRPr="00391009">
              <w:rPr>
                <w:rFonts w:cs="Verdana"/>
                <w:sz w:val="24"/>
                <w:szCs w:val="24"/>
              </w:rPr>
              <w:t>Signature</w:t>
            </w:r>
            <w:r w:rsidR="00DB18BA" w:rsidRPr="00391009">
              <w:rPr>
                <w:rFonts w:cs="Verdana"/>
                <w:sz w:val="24"/>
                <w:szCs w:val="24"/>
              </w:rPr>
              <w:t xml:space="preserve"> </w:t>
            </w:r>
          </w:p>
        </w:tc>
      </w:tr>
      <w:tr w:rsidR="0022413C" w:rsidRPr="00391009" w14:paraId="63C8CA94" w14:textId="77777777" w:rsidTr="0022413C">
        <w:trPr>
          <w:trHeight w:val="432"/>
        </w:trPr>
        <w:tc>
          <w:tcPr>
            <w:tcW w:w="3198" w:type="dxa"/>
            <w:tcBorders>
              <w:top w:val="nil"/>
              <w:left w:val="nil"/>
              <w:bottom w:val="nil"/>
              <w:right w:val="nil"/>
            </w:tcBorders>
            <w:vAlign w:val="center"/>
          </w:tcPr>
          <w:p w14:paraId="13B98C35" w14:textId="77777777" w:rsidR="0022413C" w:rsidRPr="00391009" w:rsidRDefault="0022413C" w:rsidP="002C255A">
            <w:pPr>
              <w:ind w:left="360"/>
              <w:rPr>
                <w:rFonts w:cs="Verdana"/>
                <w:sz w:val="24"/>
                <w:szCs w:val="24"/>
              </w:rPr>
            </w:pPr>
          </w:p>
        </w:tc>
        <w:tc>
          <w:tcPr>
            <w:tcW w:w="2931" w:type="dxa"/>
            <w:tcBorders>
              <w:top w:val="nil"/>
              <w:left w:val="nil"/>
              <w:bottom w:val="nil"/>
              <w:right w:val="nil"/>
            </w:tcBorders>
            <w:vAlign w:val="center"/>
          </w:tcPr>
          <w:p w14:paraId="50448E84" w14:textId="77777777" w:rsidR="0022413C" w:rsidRPr="00391009" w:rsidRDefault="0022413C" w:rsidP="002C255A">
            <w:pPr>
              <w:ind w:left="360"/>
              <w:rPr>
                <w:rFonts w:cs="Verdana"/>
                <w:sz w:val="24"/>
                <w:szCs w:val="24"/>
              </w:rPr>
            </w:pPr>
          </w:p>
        </w:tc>
        <w:tc>
          <w:tcPr>
            <w:tcW w:w="2979" w:type="dxa"/>
            <w:tcBorders>
              <w:top w:val="nil"/>
              <w:left w:val="nil"/>
              <w:bottom w:val="nil"/>
              <w:right w:val="nil"/>
            </w:tcBorders>
            <w:vAlign w:val="center"/>
          </w:tcPr>
          <w:p w14:paraId="711C3FCF" w14:textId="77777777" w:rsidR="0022413C" w:rsidRPr="00391009" w:rsidRDefault="0022413C" w:rsidP="002C255A">
            <w:pPr>
              <w:ind w:left="360"/>
              <w:rPr>
                <w:rFonts w:cs="Verdana"/>
                <w:sz w:val="24"/>
                <w:szCs w:val="24"/>
              </w:rPr>
            </w:pPr>
          </w:p>
        </w:tc>
      </w:tr>
      <w:tr w:rsidR="0022413C" w:rsidRPr="00391009" w14:paraId="0A78F735" w14:textId="77777777" w:rsidTr="0022413C">
        <w:trPr>
          <w:trHeight w:val="432"/>
        </w:trPr>
        <w:tc>
          <w:tcPr>
            <w:tcW w:w="3198" w:type="dxa"/>
            <w:tcBorders>
              <w:top w:val="nil"/>
              <w:left w:val="nil"/>
              <w:right w:val="nil"/>
            </w:tcBorders>
            <w:vAlign w:val="center"/>
          </w:tcPr>
          <w:p w14:paraId="29107CA3" w14:textId="77777777" w:rsidR="0022413C" w:rsidRPr="00391009" w:rsidRDefault="0022413C" w:rsidP="002C255A">
            <w:pPr>
              <w:rPr>
                <w:rFonts w:cs="Verdana"/>
                <w:sz w:val="24"/>
                <w:szCs w:val="24"/>
              </w:rPr>
            </w:pPr>
            <w:r w:rsidRPr="00391009">
              <w:rPr>
                <w:rFonts w:cs="Verdana"/>
                <w:sz w:val="24"/>
                <w:szCs w:val="24"/>
              </w:rPr>
              <w:fldChar w:fldCharType="begin">
                <w:ffData>
                  <w:name w:val="Text330"/>
                  <w:enabled/>
                  <w:calcOnExit w:val="0"/>
                  <w:textInput/>
                </w:ffData>
              </w:fldChar>
            </w:r>
            <w:r w:rsidRPr="00391009">
              <w:rPr>
                <w:rFonts w:cs="Verdana"/>
                <w:sz w:val="24"/>
                <w:szCs w:val="24"/>
              </w:rPr>
              <w:instrText xml:space="preserve"> FORMTEXT </w:instrText>
            </w:r>
            <w:r w:rsidRPr="00391009">
              <w:rPr>
                <w:rFonts w:cs="Verdana"/>
                <w:sz w:val="24"/>
                <w:szCs w:val="24"/>
              </w:rPr>
            </w:r>
            <w:r w:rsidRPr="00391009">
              <w:rPr>
                <w:rFonts w:cs="Verdana"/>
                <w:sz w:val="24"/>
                <w:szCs w:val="24"/>
              </w:rPr>
              <w:fldChar w:fldCharType="separate"/>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fldChar w:fldCharType="end"/>
            </w:r>
          </w:p>
        </w:tc>
        <w:tc>
          <w:tcPr>
            <w:tcW w:w="2931" w:type="dxa"/>
            <w:tcBorders>
              <w:top w:val="nil"/>
              <w:left w:val="nil"/>
              <w:right w:val="nil"/>
            </w:tcBorders>
            <w:vAlign w:val="center"/>
          </w:tcPr>
          <w:p w14:paraId="788A5021" w14:textId="77777777" w:rsidR="0022413C" w:rsidRPr="00391009" w:rsidRDefault="0022413C" w:rsidP="002C255A">
            <w:pPr>
              <w:ind w:left="360"/>
              <w:rPr>
                <w:rFonts w:cs="Verdana"/>
                <w:sz w:val="24"/>
                <w:szCs w:val="24"/>
              </w:rPr>
            </w:pPr>
            <w:r w:rsidRPr="00391009">
              <w:rPr>
                <w:rFonts w:cs="Verdana"/>
                <w:sz w:val="24"/>
                <w:szCs w:val="24"/>
              </w:rPr>
              <w:fldChar w:fldCharType="begin">
                <w:ffData>
                  <w:name w:val="Text330"/>
                  <w:enabled/>
                  <w:calcOnExit w:val="0"/>
                  <w:textInput/>
                </w:ffData>
              </w:fldChar>
            </w:r>
            <w:r w:rsidRPr="00391009">
              <w:rPr>
                <w:rFonts w:cs="Verdana"/>
                <w:sz w:val="24"/>
                <w:szCs w:val="24"/>
              </w:rPr>
              <w:instrText xml:space="preserve"> FORMTEXT </w:instrText>
            </w:r>
            <w:r w:rsidRPr="00391009">
              <w:rPr>
                <w:rFonts w:cs="Verdana"/>
                <w:sz w:val="24"/>
                <w:szCs w:val="24"/>
              </w:rPr>
            </w:r>
            <w:r w:rsidRPr="00391009">
              <w:rPr>
                <w:rFonts w:cs="Verdana"/>
                <w:sz w:val="24"/>
                <w:szCs w:val="24"/>
              </w:rPr>
              <w:fldChar w:fldCharType="separate"/>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fldChar w:fldCharType="end"/>
            </w:r>
          </w:p>
        </w:tc>
        <w:tc>
          <w:tcPr>
            <w:tcW w:w="2979" w:type="dxa"/>
            <w:tcBorders>
              <w:top w:val="nil"/>
              <w:left w:val="nil"/>
              <w:right w:val="nil"/>
            </w:tcBorders>
            <w:vAlign w:val="center"/>
          </w:tcPr>
          <w:p w14:paraId="6D30F6CD" w14:textId="77777777" w:rsidR="0022413C" w:rsidRPr="00391009" w:rsidRDefault="0022413C" w:rsidP="002C255A">
            <w:pPr>
              <w:ind w:left="360"/>
              <w:rPr>
                <w:rFonts w:cs="Verdana"/>
                <w:sz w:val="24"/>
                <w:szCs w:val="24"/>
              </w:rPr>
            </w:pPr>
            <w:r w:rsidRPr="00391009">
              <w:rPr>
                <w:rFonts w:cs="Verdana"/>
                <w:sz w:val="24"/>
                <w:szCs w:val="24"/>
              </w:rPr>
              <w:fldChar w:fldCharType="begin">
                <w:ffData>
                  <w:name w:val=""/>
                  <w:enabled/>
                  <w:calcOnExit w:val="0"/>
                  <w:textInput/>
                </w:ffData>
              </w:fldChar>
            </w:r>
            <w:r w:rsidRPr="00391009">
              <w:rPr>
                <w:rFonts w:cs="Verdana"/>
                <w:sz w:val="24"/>
                <w:szCs w:val="24"/>
              </w:rPr>
              <w:instrText xml:space="preserve"> FORMTEXT </w:instrText>
            </w:r>
            <w:r w:rsidRPr="00391009">
              <w:rPr>
                <w:rFonts w:cs="Verdana"/>
                <w:sz w:val="24"/>
                <w:szCs w:val="24"/>
              </w:rPr>
            </w:r>
            <w:r w:rsidRPr="00391009">
              <w:rPr>
                <w:rFonts w:cs="Verdana"/>
                <w:sz w:val="24"/>
                <w:szCs w:val="24"/>
              </w:rPr>
              <w:fldChar w:fldCharType="separate"/>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t> </w:t>
            </w:r>
            <w:r w:rsidRPr="00391009">
              <w:rPr>
                <w:rFonts w:cs="Verdana"/>
                <w:sz w:val="24"/>
                <w:szCs w:val="24"/>
              </w:rPr>
              <w:fldChar w:fldCharType="end"/>
            </w:r>
          </w:p>
        </w:tc>
      </w:tr>
      <w:tr w:rsidR="0022413C" w:rsidRPr="00391009" w14:paraId="6CDA6629" w14:textId="77777777" w:rsidTr="00870004">
        <w:trPr>
          <w:trHeight w:val="432"/>
        </w:trPr>
        <w:tc>
          <w:tcPr>
            <w:tcW w:w="3198" w:type="dxa"/>
            <w:tcBorders>
              <w:left w:val="nil"/>
              <w:bottom w:val="nil"/>
              <w:right w:val="nil"/>
            </w:tcBorders>
          </w:tcPr>
          <w:p w14:paraId="5DB072E9" w14:textId="77777777" w:rsidR="0022413C" w:rsidRPr="00391009" w:rsidRDefault="0022413C" w:rsidP="00870004">
            <w:pPr>
              <w:rPr>
                <w:rFonts w:cs="Verdana"/>
                <w:sz w:val="24"/>
                <w:szCs w:val="24"/>
              </w:rPr>
            </w:pPr>
            <w:r w:rsidRPr="00391009">
              <w:rPr>
                <w:rFonts w:cs="Verdana"/>
                <w:sz w:val="24"/>
                <w:szCs w:val="24"/>
              </w:rPr>
              <w:t>Printed Authorized Signatory</w:t>
            </w:r>
          </w:p>
        </w:tc>
        <w:tc>
          <w:tcPr>
            <w:tcW w:w="2931" w:type="dxa"/>
            <w:tcBorders>
              <w:left w:val="nil"/>
              <w:bottom w:val="nil"/>
              <w:right w:val="nil"/>
            </w:tcBorders>
            <w:vAlign w:val="center"/>
          </w:tcPr>
          <w:p w14:paraId="5535397F" w14:textId="77777777" w:rsidR="0022413C" w:rsidRPr="00391009" w:rsidRDefault="0022413C" w:rsidP="002C255A">
            <w:pPr>
              <w:ind w:left="360"/>
              <w:rPr>
                <w:rFonts w:cs="Verdana"/>
                <w:sz w:val="24"/>
                <w:szCs w:val="24"/>
              </w:rPr>
            </w:pPr>
            <w:r w:rsidRPr="00391009">
              <w:rPr>
                <w:rFonts w:cs="Verdana"/>
                <w:sz w:val="24"/>
                <w:szCs w:val="24"/>
              </w:rPr>
              <w:t>Title of Authorized Signatory</w:t>
            </w:r>
          </w:p>
        </w:tc>
        <w:tc>
          <w:tcPr>
            <w:tcW w:w="2979" w:type="dxa"/>
            <w:tcBorders>
              <w:left w:val="nil"/>
              <w:bottom w:val="nil"/>
              <w:right w:val="nil"/>
            </w:tcBorders>
          </w:tcPr>
          <w:p w14:paraId="75EBA9B4" w14:textId="77777777" w:rsidR="0022413C" w:rsidRPr="00391009" w:rsidRDefault="0022413C" w:rsidP="00870004">
            <w:pPr>
              <w:ind w:left="360"/>
              <w:rPr>
                <w:rFonts w:cs="Verdana"/>
                <w:sz w:val="24"/>
                <w:szCs w:val="24"/>
              </w:rPr>
            </w:pPr>
            <w:r w:rsidRPr="00391009">
              <w:rPr>
                <w:rFonts w:cs="Verdana"/>
                <w:sz w:val="24"/>
                <w:szCs w:val="24"/>
              </w:rPr>
              <w:t xml:space="preserve">Date </w:t>
            </w:r>
          </w:p>
        </w:tc>
      </w:tr>
    </w:tbl>
    <w:p w14:paraId="118E11D5" w14:textId="77777777" w:rsidR="00607899" w:rsidRPr="00391009" w:rsidRDefault="00607899">
      <w:pPr>
        <w:rPr>
          <w:sz w:val="24"/>
          <w:szCs w:val="24"/>
        </w:rPr>
      </w:pPr>
    </w:p>
    <w:sectPr w:rsidR="00607899" w:rsidRPr="00391009" w:rsidSect="00350280">
      <w:headerReference w:type="even"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69F3" w14:textId="77777777" w:rsidR="00DE2223" w:rsidRDefault="00DE2223" w:rsidP="00C602CA">
      <w:pPr>
        <w:spacing w:after="0" w:line="240" w:lineRule="auto"/>
      </w:pPr>
      <w:r>
        <w:separator/>
      </w:r>
    </w:p>
  </w:endnote>
  <w:endnote w:type="continuationSeparator" w:id="0">
    <w:p w14:paraId="1FA5E3AC" w14:textId="77777777" w:rsidR="00DE2223" w:rsidRDefault="00DE2223" w:rsidP="00C6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E41E" w14:textId="77777777" w:rsidR="003320B3" w:rsidRPr="006D2437" w:rsidRDefault="009E6982">
    <w:pPr>
      <w:pStyle w:val="Footer"/>
      <w:rPr>
        <w:rFonts w:asciiTheme="majorHAnsi" w:hAnsiTheme="majorHAnsi"/>
      </w:rPr>
    </w:pPr>
    <w:r w:rsidRPr="00CF0B66">
      <w:rPr>
        <w:rFonts w:asciiTheme="majorHAnsi" w:hAnsiTheme="majorHAnsi"/>
      </w:rPr>
      <w:fldChar w:fldCharType="begin"/>
    </w:r>
    <w:r w:rsidRPr="00CF0B66">
      <w:rPr>
        <w:rFonts w:asciiTheme="majorHAnsi" w:hAnsiTheme="majorHAnsi"/>
      </w:rPr>
      <w:instrText xml:space="preserve"> PAGE   \* MERGEFORMAT </w:instrText>
    </w:r>
    <w:r w:rsidRPr="00CF0B66">
      <w:rPr>
        <w:rFonts w:asciiTheme="majorHAnsi" w:hAnsiTheme="majorHAnsi"/>
      </w:rPr>
      <w:fldChar w:fldCharType="separate"/>
    </w:r>
    <w:r>
      <w:rPr>
        <w:rFonts w:asciiTheme="majorHAnsi" w:hAnsiTheme="majorHAnsi"/>
        <w:noProof/>
      </w:rPr>
      <w:t>2</w:t>
    </w:r>
    <w:r w:rsidRPr="00CF0B66">
      <w:rPr>
        <w:rFonts w:asciiTheme="majorHAnsi" w:hAnsiTheme="majorHAnsi"/>
      </w:rPr>
      <w:fldChar w:fldCharType="end"/>
    </w:r>
    <w:r>
      <w:rPr>
        <w:rFonts w:asciiTheme="majorHAnsi" w:hAnsiTheme="majorHAnsi"/>
        <w:noProof/>
      </w:rPr>
      <w:t xml:space="preserve"> </w:t>
    </w:r>
  </w:p>
  <w:p w14:paraId="490534AE" w14:textId="77777777" w:rsidR="003320B3" w:rsidRDefault="003320B3" w:rsidP="00707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0EAE" w14:textId="77777777" w:rsidR="00F101FC" w:rsidRPr="005C2824" w:rsidRDefault="00F101FC" w:rsidP="00F101FC">
    <w:pPr>
      <w:pStyle w:val="Footer"/>
      <w:jc w:val="right"/>
      <w:rPr>
        <w:sz w:val="6"/>
        <w:szCs w:val="6"/>
      </w:rPr>
    </w:pPr>
  </w:p>
  <w:p w14:paraId="679AF8C8" w14:textId="419434AB" w:rsidR="005B26F0" w:rsidRPr="00D036FE" w:rsidRDefault="005B26F0" w:rsidP="005B26F0">
    <w:pPr>
      <w:pStyle w:val="Footer"/>
      <w:tabs>
        <w:tab w:val="center" w:pos="4680"/>
        <w:tab w:val="right" w:pos="9360"/>
      </w:tabs>
      <w:jc w:val="left"/>
      <w:rPr>
        <w:sz w:val="16"/>
        <w:szCs w:val="16"/>
      </w:rPr>
    </w:pPr>
    <w:r>
      <w:rPr>
        <w:sz w:val="16"/>
        <w:szCs w:val="16"/>
      </w:rPr>
      <w:t>Qualified Contract Certification</w:t>
    </w:r>
    <w:r>
      <w:rPr>
        <w:sz w:val="16"/>
        <w:szCs w:val="16"/>
      </w:rPr>
      <w:tab/>
      <w:t xml:space="preserve"> </w:t>
    </w:r>
    <w:r w:rsidRPr="00D036FE">
      <w:rPr>
        <w:bCs/>
        <w:sz w:val="16"/>
        <w:szCs w:val="16"/>
      </w:rPr>
      <w:fldChar w:fldCharType="begin"/>
    </w:r>
    <w:r w:rsidRPr="00D036FE">
      <w:rPr>
        <w:bCs/>
        <w:sz w:val="16"/>
        <w:szCs w:val="16"/>
      </w:rPr>
      <w:instrText xml:space="preserve"> PAGE </w:instrText>
    </w:r>
    <w:r w:rsidRPr="00D036FE">
      <w:rPr>
        <w:bCs/>
        <w:sz w:val="16"/>
        <w:szCs w:val="16"/>
      </w:rPr>
      <w:fldChar w:fldCharType="separate"/>
    </w:r>
    <w:r w:rsidR="00AF3DE8">
      <w:rPr>
        <w:bCs/>
        <w:noProof/>
        <w:sz w:val="16"/>
        <w:szCs w:val="16"/>
      </w:rPr>
      <w:t>2</w:t>
    </w:r>
    <w:r w:rsidRPr="00D036FE">
      <w:rPr>
        <w:bCs/>
        <w:sz w:val="16"/>
        <w:szCs w:val="16"/>
      </w:rPr>
      <w:fldChar w:fldCharType="end"/>
    </w:r>
    <w:r w:rsidRPr="00D036FE">
      <w:rPr>
        <w:sz w:val="16"/>
        <w:szCs w:val="16"/>
      </w:rPr>
      <w:t xml:space="preserve"> of </w:t>
    </w:r>
    <w:r w:rsidRPr="00D036FE">
      <w:rPr>
        <w:bCs/>
        <w:sz w:val="16"/>
        <w:szCs w:val="16"/>
      </w:rPr>
      <w:fldChar w:fldCharType="begin"/>
    </w:r>
    <w:r w:rsidRPr="00D036FE">
      <w:rPr>
        <w:bCs/>
        <w:sz w:val="16"/>
        <w:szCs w:val="16"/>
      </w:rPr>
      <w:instrText xml:space="preserve"> NUMPAGES  </w:instrText>
    </w:r>
    <w:r w:rsidRPr="00D036FE">
      <w:rPr>
        <w:bCs/>
        <w:sz w:val="16"/>
        <w:szCs w:val="16"/>
      </w:rPr>
      <w:fldChar w:fldCharType="separate"/>
    </w:r>
    <w:r w:rsidR="00AF3DE8">
      <w:rPr>
        <w:bCs/>
        <w:noProof/>
        <w:sz w:val="16"/>
        <w:szCs w:val="16"/>
      </w:rPr>
      <w:t>3</w:t>
    </w:r>
    <w:r w:rsidRPr="00D036FE">
      <w:rPr>
        <w:bCs/>
        <w:sz w:val="16"/>
        <w:szCs w:val="16"/>
      </w:rPr>
      <w:fldChar w:fldCharType="end"/>
    </w:r>
    <w:r>
      <w:rPr>
        <w:bCs/>
        <w:sz w:val="16"/>
        <w:szCs w:val="16"/>
      </w:rPr>
      <w:tab/>
    </w:r>
    <w:r w:rsidR="00847B7F">
      <w:rPr>
        <w:bCs/>
        <w:sz w:val="16"/>
        <w:szCs w:val="16"/>
      </w:rPr>
      <w:t xml:space="preserve">April </w:t>
    </w:r>
    <w:r w:rsidR="00350280">
      <w:rPr>
        <w:bCs/>
        <w:sz w:val="16"/>
        <w:szCs w:val="16"/>
      </w:rPr>
      <w:t>202</w:t>
    </w:r>
    <w:r w:rsidR="00EF4BAD">
      <w:rPr>
        <w:bCs/>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AD4B" w14:textId="425742E0" w:rsidR="00D036FE" w:rsidRPr="00D036FE" w:rsidRDefault="00D036FE" w:rsidP="005B26F0">
    <w:pPr>
      <w:pStyle w:val="Footer"/>
      <w:tabs>
        <w:tab w:val="center" w:pos="4680"/>
        <w:tab w:val="right" w:pos="9360"/>
      </w:tabs>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2BF4" w14:textId="77777777" w:rsidR="00DE2223" w:rsidRDefault="00DE2223" w:rsidP="00C602CA">
      <w:pPr>
        <w:spacing w:after="0" w:line="240" w:lineRule="auto"/>
      </w:pPr>
      <w:r>
        <w:separator/>
      </w:r>
    </w:p>
  </w:footnote>
  <w:footnote w:type="continuationSeparator" w:id="0">
    <w:p w14:paraId="6EF3824E" w14:textId="77777777" w:rsidR="00DE2223" w:rsidRDefault="00DE2223" w:rsidP="00C60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9DDA" w14:textId="77777777" w:rsidR="003320B3" w:rsidRPr="006D2437" w:rsidRDefault="009E6982" w:rsidP="006D2437">
    <w:pPr>
      <w:pStyle w:val="Header"/>
      <w:jc w:val="right"/>
      <w:rPr>
        <w:rFonts w:asciiTheme="minorHAnsi" w:hAnsiTheme="minorHAnsi"/>
      </w:rPr>
    </w:pPr>
    <w:r>
      <w:rPr>
        <w:rFonts w:asciiTheme="minorHAnsi" w:hAnsiTheme="minorHAnsi"/>
      </w:rPr>
      <w:t>MINNESOTA HOUSING – TAX-EXEMPT BONDS: UNDERWRITER’S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777"/>
      <w:gridCol w:w="4583"/>
    </w:tblGrid>
    <w:tr w:rsidR="00391009" w:rsidRPr="00391009" w14:paraId="3F3785DC" w14:textId="77777777" w:rsidTr="00ED0D2A">
      <w:trPr>
        <w:jc w:val="center"/>
      </w:trPr>
      <w:tc>
        <w:tcPr>
          <w:tcW w:w="4788" w:type="dxa"/>
          <w:vAlign w:val="center"/>
        </w:tcPr>
        <w:p w14:paraId="23CEE010" w14:textId="77777777" w:rsidR="003C1A81" w:rsidRPr="00321A5C" w:rsidRDefault="00FF0E8C" w:rsidP="00ED0D2A">
          <w:pPr>
            <w:rPr>
              <w:rFonts w:ascii="Calibri" w:hAnsi="Calibri" w:cs="Geneva"/>
              <w:b/>
              <w:bCs/>
              <w:sz w:val="28"/>
            </w:rPr>
          </w:pPr>
          <w:r w:rsidRPr="00FF0E8C">
            <w:rPr>
              <w:noProof/>
              <w:color w:val="003865"/>
            </w:rPr>
            <w:drawing>
              <wp:inline distT="0" distB="0" distL="0" distR="0" wp14:anchorId="646586B5" wp14:editId="25EDBF0C">
                <wp:extent cx="2796540" cy="541020"/>
                <wp:effectExtent l="0" t="0" r="0" b="0"/>
                <wp:docPr id="2" name="Picture 1"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nesota Housing logo"/>
                        <pic:cNvPicPr>
                          <a:picLocks noChangeAspect="1" noChangeArrowheads="1"/>
                        </pic:cNvPicPr>
                      </pic:nvPicPr>
                      <pic:blipFill>
                        <a:blip r:embed="rId1">
                          <a:extLst>
                            <a:ext uri="{28A0092B-C50C-407E-A947-70E740481C1C}">
                              <a14:useLocalDpi xmlns:a14="http://schemas.microsoft.com/office/drawing/2010/main" val="0"/>
                            </a:ext>
                          </a:extLst>
                        </a:blip>
                        <a:srcRect l="6544" t="19861" r="4509" b="16389"/>
                        <a:stretch>
                          <a:fillRect/>
                        </a:stretch>
                      </pic:blipFill>
                      <pic:spPr bwMode="auto">
                        <a:xfrm>
                          <a:off x="0" y="0"/>
                          <a:ext cx="2796540" cy="541020"/>
                        </a:xfrm>
                        <a:prstGeom prst="rect">
                          <a:avLst/>
                        </a:prstGeom>
                        <a:noFill/>
                        <a:ln>
                          <a:noFill/>
                        </a:ln>
                      </pic:spPr>
                    </pic:pic>
                  </a:graphicData>
                </a:graphic>
              </wp:inline>
            </w:drawing>
          </w:r>
        </w:p>
      </w:tc>
      <w:tc>
        <w:tcPr>
          <w:tcW w:w="4788" w:type="dxa"/>
          <w:vAlign w:val="center"/>
        </w:tcPr>
        <w:p w14:paraId="52768713" w14:textId="62E5FB52" w:rsidR="004F4604" w:rsidRPr="00391009" w:rsidRDefault="004F4604" w:rsidP="003D35FD">
          <w:pPr>
            <w:pStyle w:val="Heading1"/>
            <w:spacing w:before="0" w:line="240" w:lineRule="auto"/>
            <w:jc w:val="right"/>
            <w:rPr>
              <w:rFonts w:ascii="Calibri" w:hAnsi="Calibri" w:cs="Calibri"/>
              <w:b/>
              <w:bCs/>
              <w:color w:val="auto"/>
              <w:sz w:val="28"/>
              <w:szCs w:val="28"/>
            </w:rPr>
          </w:pPr>
          <w:r w:rsidRPr="00391009">
            <w:rPr>
              <w:rFonts w:ascii="Calibri" w:hAnsi="Calibri" w:cs="Calibri"/>
              <w:b/>
              <w:bCs/>
              <w:color w:val="auto"/>
              <w:sz w:val="28"/>
              <w:szCs w:val="28"/>
            </w:rPr>
            <w:t>Housing Tax Credit</w:t>
          </w:r>
          <w:r w:rsidR="002667D5">
            <w:rPr>
              <w:rFonts w:ascii="Calibri" w:hAnsi="Calibri" w:cs="Calibri"/>
              <w:b/>
              <w:bCs/>
              <w:color w:val="auto"/>
              <w:sz w:val="28"/>
              <w:szCs w:val="28"/>
            </w:rPr>
            <w:t xml:space="preserve"> Program</w:t>
          </w:r>
        </w:p>
        <w:p w14:paraId="2828C5C3" w14:textId="77777777" w:rsidR="003C1A81" w:rsidRPr="00391009" w:rsidRDefault="004F4604" w:rsidP="003D35FD">
          <w:pPr>
            <w:pStyle w:val="Heading1"/>
            <w:spacing w:before="0" w:line="240" w:lineRule="auto"/>
            <w:jc w:val="right"/>
            <w:rPr>
              <w:rFonts w:ascii="Calibri" w:hAnsi="Calibri" w:cs="Calibri"/>
              <w:b/>
              <w:bCs/>
              <w:color w:val="auto"/>
              <w:sz w:val="28"/>
              <w:szCs w:val="28"/>
            </w:rPr>
          </w:pPr>
          <w:r w:rsidRPr="00391009">
            <w:rPr>
              <w:rFonts w:ascii="Calibri" w:hAnsi="Calibri" w:cs="Calibri"/>
              <w:b/>
              <w:bCs/>
              <w:color w:val="auto"/>
              <w:sz w:val="28"/>
              <w:szCs w:val="28"/>
            </w:rPr>
            <w:t>Qualified Contract Certification</w:t>
          </w:r>
          <w:r w:rsidR="00D907A1" w:rsidRPr="00391009">
            <w:rPr>
              <w:rFonts w:ascii="Calibri" w:hAnsi="Calibri" w:cs="Calibri"/>
              <w:b/>
              <w:bCs/>
              <w:color w:val="auto"/>
              <w:sz w:val="28"/>
              <w:szCs w:val="28"/>
            </w:rPr>
            <w:t xml:space="preserve"> </w:t>
          </w:r>
        </w:p>
      </w:tc>
    </w:tr>
  </w:tbl>
  <w:p w14:paraId="50170F5B" w14:textId="77777777" w:rsidR="003C1A81" w:rsidRDefault="003C1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C5F"/>
    <w:multiLevelType w:val="hybridMultilevel"/>
    <w:tmpl w:val="FFFFFFFF"/>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53152363"/>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2" w15:restartNumberingAfterBreak="0">
    <w:nsid w:val="5A496D6B"/>
    <w:multiLevelType w:val="hybridMultilevel"/>
    <w:tmpl w:val="FFFFFFFF"/>
    <w:lvl w:ilvl="0" w:tplc="27846344">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B5B6C2C"/>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63242F6C"/>
    <w:multiLevelType w:val="hybridMultilevel"/>
    <w:tmpl w:val="FFFFFFFF"/>
    <w:lvl w:ilvl="0" w:tplc="0AA49218">
      <w:start w:val="1"/>
      <w:numFmt w:val="low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6DD13350"/>
    <w:multiLevelType w:val="hybridMultilevel"/>
    <w:tmpl w:val="FFFFFFFF"/>
    <w:lvl w:ilvl="0" w:tplc="04090019">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5177808">
    <w:abstractNumId w:val="3"/>
  </w:num>
  <w:num w:numId="2" w16cid:durableId="323893350">
    <w:abstractNumId w:val="1"/>
  </w:num>
  <w:num w:numId="3" w16cid:durableId="1576740459">
    <w:abstractNumId w:val="0"/>
  </w:num>
  <w:num w:numId="4" w16cid:durableId="517503752">
    <w:abstractNumId w:val="1"/>
    <w:lvlOverride w:ilvl="0">
      <w:lvl w:ilvl="0">
        <w:start w:val="1"/>
        <w:numFmt w:val="decimal"/>
        <w:lvlText w:val="%1."/>
        <w:legacy w:legacy="1" w:legacySpace="0" w:legacyIndent="360"/>
        <w:lvlJc w:val="left"/>
        <w:pPr>
          <w:ind w:left="360" w:hanging="360"/>
        </w:pPr>
        <w:rPr>
          <w:rFonts w:cs="Times New Roman"/>
        </w:rPr>
      </w:lvl>
    </w:lvlOverride>
  </w:num>
  <w:num w:numId="5" w16cid:durableId="868489156">
    <w:abstractNumId w:val="5"/>
  </w:num>
  <w:num w:numId="6" w16cid:durableId="2015913618">
    <w:abstractNumId w:val="2"/>
  </w:num>
  <w:num w:numId="7" w16cid:durableId="1028799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CA"/>
    <w:rsid w:val="00004227"/>
    <w:rsid w:val="0001676E"/>
    <w:rsid w:val="0009250E"/>
    <w:rsid w:val="000A2D65"/>
    <w:rsid w:val="000B097C"/>
    <w:rsid w:val="000B0AEB"/>
    <w:rsid w:val="000C1E21"/>
    <w:rsid w:val="00125831"/>
    <w:rsid w:val="00126D73"/>
    <w:rsid w:val="00160F01"/>
    <w:rsid w:val="001749C1"/>
    <w:rsid w:val="001B5F7D"/>
    <w:rsid w:val="001E563D"/>
    <w:rsid w:val="00220B1C"/>
    <w:rsid w:val="0022413C"/>
    <w:rsid w:val="00251242"/>
    <w:rsid w:val="002667D5"/>
    <w:rsid w:val="002925DB"/>
    <w:rsid w:val="002C255A"/>
    <w:rsid w:val="002C29BC"/>
    <w:rsid w:val="002D2A8A"/>
    <w:rsid w:val="002F78DB"/>
    <w:rsid w:val="00321A5C"/>
    <w:rsid w:val="003320B3"/>
    <w:rsid w:val="00341089"/>
    <w:rsid w:val="00350280"/>
    <w:rsid w:val="00355801"/>
    <w:rsid w:val="00356A2E"/>
    <w:rsid w:val="00370858"/>
    <w:rsid w:val="0037177D"/>
    <w:rsid w:val="00391009"/>
    <w:rsid w:val="00395397"/>
    <w:rsid w:val="003C1A81"/>
    <w:rsid w:val="003D35FD"/>
    <w:rsid w:val="0040352D"/>
    <w:rsid w:val="00407A95"/>
    <w:rsid w:val="004438EE"/>
    <w:rsid w:val="00453D73"/>
    <w:rsid w:val="00484AB5"/>
    <w:rsid w:val="004C593D"/>
    <w:rsid w:val="004C6332"/>
    <w:rsid w:val="004D248D"/>
    <w:rsid w:val="004F4604"/>
    <w:rsid w:val="00533AC1"/>
    <w:rsid w:val="005539FF"/>
    <w:rsid w:val="0059755B"/>
    <w:rsid w:val="005A32C6"/>
    <w:rsid w:val="005B26F0"/>
    <w:rsid w:val="005C2359"/>
    <w:rsid w:val="005C2824"/>
    <w:rsid w:val="005C506E"/>
    <w:rsid w:val="005E2A97"/>
    <w:rsid w:val="005E78C1"/>
    <w:rsid w:val="00603FF3"/>
    <w:rsid w:val="00607899"/>
    <w:rsid w:val="0064273F"/>
    <w:rsid w:val="00656C2F"/>
    <w:rsid w:val="00695168"/>
    <w:rsid w:val="006A609B"/>
    <w:rsid w:val="006C532B"/>
    <w:rsid w:val="006D2437"/>
    <w:rsid w:val="006D3BE8"/>
    <w:rsid w:val="006D65D8"/>
    <w:rsid w:val="006E0A03"/>
    <w:rsid w:val="00707769"/>
    <w:rsid w:val="0071201E"/>
    <w:rsid w:val="007204E5"/>
    <w:rsid w:val="00733214"/>
    <w:rsid w:val="00736F47"/>
    <w:rsid w:val="007562AE"/>
    <w:rsid w:val="007664F3"/>
    <w:rsid w:val="007864B1"/>
    <w:rsid w:val="00792509"/>
    <w:rsid w:val="007B36EF"/>
    <w:rsid w:val="007B3F1E"/>
    <w:rsid w:val="007D7A43"/>
    <w:rsid w:val="008073F0"/>
    <w:rsid w:val="00811969"/>
    <w:rsid w:val="00835109"/>
    <w:rsid w:val="00847B7F"/>
    <w:rsid w:val="00870004"/>
    <w:rsid w:val="0088293E"/>
    <w:rsid w:val="00887663"/>
    <w:rsid w:val="008900D2"/>
    <w:rsid w:val="008B271E"/>
    <w:rsid w:val="008F111A"/>
    <w:rsid w:val="00906240"/>
    <w:rsid w:val="009214ED"/>
    <w:rsid w:val="00932FF5"/>
    <w:rsid w:val="009526E3"/>
    <w:rsid w:val="00953548"/>
    <w:rsid w:val="00955DD0"/>
    <w:rsid w:val="00956616"/>
    <w:rsid w:val="00961108"/>
    <w:rsid w:val="009774A7"/>
    <w:rsid w:val="00985443"/>
    <w:rsid w:val="009B16AB"/>
    <w:rsid w:val="009C3AC1"/>
    <w:rsid w:val="009E6982"/>
    <w:rsid w:val="00A14F4E"/>
    <w:rsid w:val="00A22430"/>
    <w:rsid w:val="00A241A8"/>
    <w:rsid w:val="00A32BA2"/>
    <w:rsid w:val="00A469D5"/>
    <w:rsid w:val="00A56FDC"/>
    <w:rsid w:val="00A666A9"/>
    <w:rsid w:val="00A70844"/>
    <w:rsid w:val="00A71D08"/>
    <w:rsid w:val="00A9570F"/>
    <w:rsid w:val="00AA481B"/>
    <w:rsid w:val="00AC66B5"/>
    <w:rsid w:val="00AE6E48"/>
    <w:rsid w:val="00AF2515"/>
    <w:rsid w:val="00AF3DE8"/>
    <w:rsid w:val="00B258BC"/>
    <w:rsid w:val="00B36640"/>
    <w:rsid w:val="00B473EB"/>
    <w:rsid w:val="00B6437E"/>
    <w:rsid w:val="00B7129B"/>
    <w:rsid w:val="00B75930"/>
    <w:rsid w:val="00B9565B"/>
    <w:rsid w:val="00BC0D4F"/>
    <w:rsid w:val="00BE13F5"/>
    <w:rsid w:val="00BF640C"/>
    <w:rsid w:val="00C14C3C"/>
    <w:rsid w:val="00C23E03"/>
    <w:rsid w:val="00C42827"/>
    <w:rsid w:val="00C46210"/>
    <w:rsid w:val="00C602CA"/>
    <w:rsid w:val="00C713F0"/>
    <w:rsid w:val="00C8222C"/>
    <w:rsid w:val="00C82F2F"/>
    <w:rsid w:val="00C85F6A"/>
    <w:rsid w:val="00CE7569"/>
    <w:rsid w:val="00CF0B66"/>
    <w:rsid w:val="00D036FE"/>
    <w:rsid w:val="00D05EEB"/>
    <w:rsid w:val="00D14A0F"/>
    <w:rsid w:val="00D173C6"/>
    <w:rsid w:val="00D84540"/>
    <w:rsid w:val="00D87FAE"/>
    <w:rsid w:val="00D907A1"/>
    <w:rsid w:val="00D9101A"/>
    <w:rsid w:val="00DB18BA"/>
    <w:rsid w:val="00DC2FE4"/>
    <w:rsid w:val="00DC5B00"/>
    <w:rsid w:val="00DC64A1"/>
    <w:rsid w:val="00DC6EC6"/>
    <w:rsid w:val="00DD14DA"/>
    <w:rsid w:val="00DE04EF"/>
    <w:rsid w:val="00DE2223"/>
    <w:rsid w:val="00DF66F1"/>
    <w:rsid w:val="00E00337"/>
    <w:rsid w:val="00E24B3E"/>
    <w:rsid w:val="00E325DC"/>
    <w:rsid w:val="00E42589"/>
    <w:rsid w:val="00E7265C"/>
    <w:rsid w:val="00EA5BE8"/>
    <w:rsid w:val="00EC6105"/>
    <w:rsid w:val="00ED0D2A"/>
    <w:rsid w:val="00EE0E65"/>
    <w:rsid w:val="00EE4EFB"/>
    <w:rsid w:val="00EF4BAD"/>
    <w:rsid w:val="00EF5AD2"/>
    <w:rsid w:val="00F0561F"/>
    <w:rsid w:val="00F101FC"/>
    <w:rsid w:val="00F434BA"/>
    <w:rsid w:val="00F57ED4"/>
    <w:rsid w:val="00F7575F"/>
    <w:rsid w:val="00F75DD7"/>
    <w:rsid w:val="00FC714B"/>
    <w:rsid w:val="00FF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A7D2FE"/>
  <w14:defaultImageDpi w14:val="0"/>
  <w15:docId w15:val="{DBA8B484-26DC-4375-A595-33E9324D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qFormat="1"/>
    <w:lsdException w:name="footer" w:semiHidden="1" w:unhideWhenUsed="1" w:qFormat="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391009"/>
    <w:pPr>
      <w:keepNext/>
      <w:keepLines/>
      <w:spacing w:before="240" w:after="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1009"/>
    <w:rPr>
      <w:rFonts w:asciiTheme="majorHAnsi" w:eastAsiaTheme="majorEastAsia" w:hAnsiTheme="majorHAnsi" w:cs="Times New Roman"/>
      <w:color w:val="2F5496" w:themeColor="accent1" w:themeShade="BF"/>
      <w:sz w:val="32"/>
      <w:szCs w:val="32"/>
    </w:rPr>
  </w:style>
  <w:style w:type="paragraph" w:styleId="Header">
    <w:name w:val="header"/>
    <w:basedOn w:val="Normal"/>
    <w:link w:val="HeaderChar"/>
    <w:uiPriority w:val="99"/>
    <w:unhideWhenUsed/>
    <w:qFormat/>
    <w:rsid w:val="00C602CA"/>
    <w:pPr>
      <w:spacing w:after="0" w:line="240" w:lineRule="auto"/>
    </w:pPr>
    <w:rPr>
      <w:rFonts w:ascii="Calibri" w:hAnsi="Calibri"/>
      <w:caps/>
      <w:szCs w:val="24"/>
    </w:rPr>
  </w:style>
  <w:style w:type="character" w:customStyle="1" w:styleId="HeaderChar">
    <w:name w:val="Header Char"/>
    <w:basedOn w:val="DefaultParagraphFont"/>
    <w:link w:val="Header"/>
    <w:uiPriority w:val="99"/>
    <w:locked/>
    <w:rsid w:val="00C602CA"/>
    <w:rPr>
      <w:rFonts w:ascii="Calibri" w:hAnsi="Calibri" w:cs="Times New Roman"/>
      <w:caps/>
      <w:sz w:val="24"/>
      <w:szCs w:val="24"/>
    </w:rPr>
  </w:style>
  <w:style w:type="paragraph" w:customStyle="1" w:styleId="SFHeading2">
    <w:name w:val="SF_Heading 2"/>
    <w:basedOn w:val="SFNormal"/>
    <w:next w:val="SFNormal"/>
    <w:qFormat/>
    <w:rsid w:val="00C602CA"/>
    <w:rPr>
      <w:b/>
      <w:sz w:val="28"/>
      <w:szCs w:val="28"/>
    </w:rPr>
  </w:style>
  <w:style w:type="paragraph" w:customStyle="1" w:styleId="SFNormal">
    <w:name w:val="SF_Normal"/>
    <w:basedOn w:val="Normal"/>
    <w:qFormat/>
    <w:rsid w:val="00C602CA"/>
    <w:pPr>
      <w:spacing w:after="0" w:line="240" w:lineRule="auto"/>
    </w:pPr>
    <w:rPr>
      <w:rFonts w:ascii="Calibri" w:hAnsi="Calibri"/>
      <w:sz w:val="24"/>
      <w:szCs w:val="24"/>
    </w:rPr>
  </w:style>
  <w:style w:type="paragraph" w:styleId="Footer">
    <w:name w:val="footer"/>
    <w:basedOn w:val="Normal"/>
    <w:link w:val="FooterChar"/>
    <w:uiPriority w:val="99"/>
    <w:qFormat/>
    <w:rsid w:val="00C602CA"/>
    <w:pPr>
      <w:spacing w:after="0" w:line="240" w:lineRule="auto"/>
      <w:jc w:val="center"/>
    </w:pPr>
    <w:rPr>
      <w:rFonts w:ascii="Calibri" w:hAnsi="Calibri"/>
    </w:rPr>
  </w:style>
  <w:style w:type="character" w:customStyle="1" w:styleId="FooterChar">
    <w:name w:val="Footer Char"/>
    <w:basedOn w:val="DefaultParagraphFont"/>
    <w:link w:val="Footer"/>
    <w:uiPriority w:val="99"/>
    <w:locked/>
    <w:rsid w:val="00C602CA"/>
    <w:rPr>
      <w:rFonts w:ascii="Calibri" w:hAnsi="Calibri" w:cs="Times New Roman"/>
    </w:rPr>
  </w:style>
  <w:style w:type="character" w:styleId="CommentReference">
    <w:name w:val="annotation reference"/>
    <w:basedOn w:val="DefaultParagraphFont"/>
    <w:uiPriority w:val="99"/>
    <w:semiHidden/>
    <w:rsid w:val="00C602CA"/>
    <w:rPr>
      <w:rFonts w:cs="Times New Roman"/>
      <w:sz w:val="16"/>
    </w:rPr>
  </w:style>
  <w:style w:type="paragraph" w:styleId="CommentText">
    <w:name w:val="annotation text"/>
    <w:basedOn w:val="Normal"/>
    <w:link w:val="CommentTextChar"/>
    <w:uiPriority w:val="99"/>
    <w:semiHidden/>
    <w:rsid w:val="00C602CA"/>
    <w:pPr>
      <w:spacing w:after="0" w:line="240" w:lineRule="auto"/>
    </w:pPr>
    <w:rPr>
      <w:rFonts w:ascii="Verdana" w:hAnsi="Verdana"/>
      <w:sz w:val="20"/>
      <w:szCs w:val="20"/>
    </w:rPr>
  </w:style>
  <w:style w:type="character" w:customStyle="1" w:styleId="CommentTextChar">
    <w:name w:val="Comment Text Char"/>
    <w:basedOn w:val="DefaultParagraphFont"/>
    <w:link w:val="CommentText"/>
    <w:uiPriority w:val="99"/>
    <w:semiHidden/>
    <w:locked/>
    <w:rsid w:val="00C602CA"/>
    <w:rPr>
      <w:rFonts w:ascii="Verdana" w:hAnsi="Verdana" w:cs="Times New Roman"/>
      <w:sz w:val="20"/>
      <w:szCs w:val="20"/>
    </w:rPr>
  </w:style>
  <w:style w:type="paragraph" w:styleId="BalloonText">
    <w:name w:val="Balloon Text"/>
    <w:basedOn w:val="Normal"/>
    <w:link w:val="BalloonTextChar"/>
    <w:uiPriority w:val="99"/>
    <w:semiHidden/>
    <w:unhideWhenUsed/>
    <w:rsid w:val="00C60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602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1F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locked/>
    <w:rsid w:val="00F101FC"/>
    <w:rPr>
      <w:rFonts w:ascii="Verdana" w:hAnsi="Verdana" w:cs="Times New Roman"/>
      <w:b/>
      <w:bCs/>
      <w:sz w:val="20"/>
      <w:szCs w:val="20"/>
    </w:rPr>
  </w:style>
  <w:style w:type="paragraph" w:styleId="Revision">
    <w:name w:val="Revision"/>
    <w:hidden/>
    <w:uiPriority w:val="99"/>
    <w:semiHidden/>
    <w:rsid w:val="00F101FC"/>
    <w:pPr>
      <w:spacing w:after="0" w:line="240" w:lineRule="auto"/>
    </w:pPr>
    <w:rPr>
      <w:rFonts w:cs="Times New Roman"/>
    </w:rPr>
  </w:style>
  <w:style w:type="table" w:styleId="TableGrid">
    <w:name w:val="Table Grid"/>
    <w:basedOn w:val="TableNormal"/>
    <w:uiPriority w:val="99"/>
    <w:rsid w:val="003C1A8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2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52C64-11FA-428B-8075-80100B65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981</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Minnesota Housing</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dc:creator>
  <cp:keywords/>
  <dc:description/>
  <cp:lastModifiedBy>Kroona, Patricia (MHFA)</cp:lastModifiedBy>
  <cp:revision>9</cp:revision>
  <cp:lastPrinted>2019-03-22T15:45:00Z</cp:lastPrinted>
  <dcterms:created xsi:type="dcterms:W3CDTF">2024-10-03T19:08:00Z</dcterms:created>
  <dcterms:modified xsi:type="dcterms:W3CDTF">2025-12-23T14:36:00Z</dcterms:modified>
</cp:coreProperties>
</file>