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51F4E" w14:textId="625429BE" w:rsidR="0044064F" w:rsidRPr="00687162" w:rsidRDefault="0044064F" w:rsidP="006D4C04">
      <w:pPr>
        <w:rPr>
          <w:color w:val="000000" w:themeColor="text2"/>
        </w:rPr>
      </w:pPr>
    </w:p>
    <w:p w14:paraId="50CAF995" w14:textId="77777777" w:rsidR="0044064F" w:rsidRPr="00687162" w:rsidRDefault="0044064F" w:rsidP="006D4C04">
      <w:pPr>
        <w:rPr>
          <w:color w:val="000000" w:themeColor="text2"/>
        </w:rPr>
      </w:pPr>
    </w:p>
    <w:p w14:paraId="145951A2" w14:textId="77777777" w:rsidR="0044064F" w:rsidRPr="00687162" w:rsidRDefault="0044064F" w:rsidP="006D4C04">
      <w:pPr>
        <w:rPr>
          <w:color w:val="000000" w:themeColor="text2"/>
        </w:rPr>
      </w:pPr>
    </w:p>
    <w:p w14:paraId="2E92C31B" w14:textId="77777777" w:rsidR="00E12B1B" w:rsidRPr="00E12B1B" w:rsidRDefault="00042E6A" w:rsidP="00E12B1B">
      <w:pPr>
        <w:jc w:val="right"/>
      </w:pPr>
      <w:r>
        <w:rPr>
          <w:noProof/>
        </w:rPr>
        <w:drawing>
          <wp:inline distT="0" distB="0" distL="0" distR="0" wp14:anchorId="6AE7966F" wp14:editId="51831117">
            <wp:extent cx="2645410" cy="549275"/>
            <wp:effectExtent l="0" t="0" r="2540" b="0"/>
            <wp:docPr id="1" name="Graphic 1" descr="Minnesota Housing logo"/>
            <wp:cNvGraphicFramePr/>
            <a:graphic xmlns:a="http://schemas.openxmlformats.org/drawingml/2006/main">
              <a:graphicData uri="http://schemas.openxmlformats.org/drawingml/2006/picture">
                <pic:pic xmlns:pic="http://schemas.openxmlformats.org/drawingml/2006/picture">
                  <pic:nvPicPr>
                    <pic:cNvPr id="1" name="Graphic 1" descr="Minnesota Housing logo"/>
                    <pic:cNvPicPr/>
                  </pic:nvPicPr>
                  <pic:blipFill rotWithShape="1">
                    <a:blip r:embed="rId8" cstate="print">
                      <a:extLst>
                        <a:ext uri="{28A0092B-C50C-407E-A947-70E740481C1C}">
                          <a14:useLocalDpi xmlns:a14="http://schemas.microsoft.com/office/drawing/2010/main" val="0"/>
                        </a:ext>
                      </a:extLst>
                    </a:blip>
                    <a:srcRect l="35" t="-1" b="-36009"/>
                    <a:stretch/>
                  </pic:blipFill>
                  <pic:spPr bwMode="auto">
                    <a:xfrm>
                      <a:off x="0" y="0"/>
                      <a:ext cx="2645410" cy="549275"/>
                    </a:xfrm>
                    <a:prstGeom prst="rect">
                      <a:avLst/>
                    </a:prstGeom>
                    <a:ln>
                      <a:noFill/>
                    </a:ln>
                    <a:extLst>
                      <a:ext uri="{53640926-AAD7-44D8-BBD7-CCE9431645EC}">
                        <a14:shadowObscured xmlns:a14="http://schemas.microsoft.com/office/drawing/2010/main"/>
                      </a:ext>
                    </a:extLst>
                  </pic:spPr>
                </pic:pic>
              </a:graphicData>
            </a:graphic>
          </wp:inline>
        </w:drawing>
      </w:r>
    </w:p>
    <w:p w14:paraId="0AA2F91C" w14:textId="7806AB66" w:rsidR="00695312" w:rsidRPr="00B25A8A" w:rsidRDefault="00DC1AAA" w:rsidP="00B25A8A">
      <w:pPr>
        <w:pBdr>
          <w:top w:val="single" w:sz="4" w:space="1" w:color="auto"/>
        </w:pBdr>
        <w:jc w:val="right"/>
        <w:rPr>
          <w:b/>
          <w:bCs/>
          <w:color w:val="003865" w:themeColor="text1"/>
          <w:sz w:val="48"/>
          <w:szCs w:val="48"/>
        </w:rPr>
      </w:pPr>
      <w:bookmarkStart w:id="0" w:name="_Toc148510732"/>
      <w:bookmarkStart w:id="1" w:name="_Toc148522062"/>
      <w:bookmarkStart w:id="2" w:name="_Toc152581181"/>
      <w:bookmarkStart w:id="3" w:name="_Toc152581216"/>
      <w:bookmarkStart w:id="4" w:name="_Toc162441869"/>
      <w:r w:rsidRPr="00B25A8A">
        <w:rPr>
          <w:b/>
          <w:bCs/>
          <w:color w:val="003865" w:themeColor="text1"/>
          <w:sz w:val="48"/>
          <w:szCs w:val="48"/>
        </w:rPr>
        <w:t>Ho</w:t>
      </w:r>
      <w:r w:rsidR="00A13E16" w:rsidRPr="00B25A8A">
        <w:rPr>
          <w:b/>
          <w:bCs/>
          <w:color w:val="003865" w:themeColor="text1"/>
          <w:sz w:val="48"/>
          <w:szCs w:val="48"/>
        </w:rPr>
        <w:t>meownership</w:t>
      </w:r>
      <w:r w:rsidRPr="00B25A8A">
        <w:rPr>
          <w:b/>
          <w:bCs/>
          <w:color w:val="003865" w:themeColor="text1"/>
          <w:sz w:val="48"/>
          <w:szCs w:val="48"/>
        </w:rPr>
        <w:t xml:space="preserve"> Investment Grant</w:t>
      </w:r>
      <w:r w:rsidR="00A13E16" w:rsidRPr="00B25A8A">
        <w:rPr>
          <w:b/>
          <w:bCs/>
          <w:color w:val="003865" w:themeColor="text1"/>
          <w:sz w:val="48"/>
          <w:szCs w:val="48"/>
        </w:rPr>
        <w:t>s</w:t>
      </w:r>
      <w:r w:rsidRPr="00B25A8A">
        <w:rPr>
          <w:b/>
          <w:bCs/>
          <w:color w:val="003865" w:themeColor="text1"/>
          <w:sz w:val="48"/>
          <w:szCs w:val="48"/>
        </w:rPr>
        <w:t xml:space="preserve"> (HIG)</w:t>
      </w:r>
    </w:p>
    <w:p w14:paraId="72EBA35A" w14:textId="14C442F2" w:rsidR="005B7092" w:rsidRPr="00B25A8A" w:rsidRDefault="00E62361" w:rsidP="00B25A8A">
      <w:pPr>
        <w:jc w:val="right"/>
        <w:rPr>
          <w:b/>
          <w:bCs/>
          <w:color w:val="003865" w:themeColor="text1"/>
          <w:sz w:val="48"/>
          <w:szCs w:val="48"/>
        </w:rPr>
      </w:pPr>
      <w:r w:rsidRPr="00B25A8A">
        <w:rPr>
          <w:b/>
          <w:bCs/>
          <w:color w:val="003865" w:themeColor="text1"/>
          <w:sz w:val="48"/>
          <w:szCs w:val="48"/>
        </w:rPr>
        <w:t>Request for Proposals</w:t>
      </w:r>
      <w:r w:rsidR="002F7C18" w:rsidRPr="00B25A8A">
        <w:rPr>
          <w:b/>
          <w:bCs/>
          <w:color w:val="003865" w:themeColor="text1"/>
          <w:sz w:val="48"/>
          <w:szCs w:val="48"/>
        </w:rPr>
        <w:t xml:space="preserve"> </w:t>
      </w:r>
      <w:r w:rsidR="005B7092" w:rsidRPr="00B25A8A">
        <w:rPr>
          <w:b/>
          <w:bCs/>
          <w:color w:val="003865" w:themeColor="text1"/>
          <w:sz w:val="48"/>
          <w:szCs w:val="48"/>
        </w:rPr>
        <w:t>(RFP)</w:t>
      </w:r>
      <w:bookmarkEnd w:id="0"/>
      <w:bookmarkEnd w:id="1"/>
      <w:bookmarkEnd w:id="2"/>
      <w:bookmarkEnd w:id="3"/>
      <w:bookmarkEnd w:id="4"/>
    </w:p>
    <w:p w14:paraId="583FD795" w14:textId="32EA6436" w:rsidR="00E12B1B" w:rsidRPr="007D0FFC" w:rsidRDefault="005B7092" w:rsidP="00E12B1B">
      <w:pPr>
        <w:pStyle w:val="ReportSubtitle"/>
        <w:rPr>
          <w:sz w:val="32"/>
          <w:szCs w:val="32"/>
        </w:rPr>
      </w:pPr>
      <w:bookmarkStart w:id="5" w:name="_Toc477437899"/>
      <w:r>
        <w:rPr>
          <w:sz w:val="32"/>
          <w:szCs w:val="32"/>
        </w:rPr>
        <w:t xml:space="preserve">Grant </w:t>
      </w:r>
      <w:r w:rsidR="00F616DB">
        <w:rPr>
          <w:sz w:val="32"/>
          <w:szCs w:val="32"/>
        </w:rPr>
        <w:t>Period</w:t>
      </w:r>
      <w:r>
        <w:rPr>
          <w:sz w:val="32"/>
          <w:szCs w:val="32"/>
        </w:rPr>
        <w:t xml:space="preserve">: </w:t>
      </w:r>
      <w:r w:rsidR="00695312" w:rsidRPr="007D0FFC">
        <w:rPr>
          <w:sz w:val="32"/>
          <w:szCs w:val="32"/>
        </w:rPr>
        <w:t>3-Year term</w:t>
      </w:r>
    </w:p>
    <w:p w14:paraId="05FD92B3" w14:textId="2E7884F5" w:rsidR="002F65C7" w:rsidRPr="00D9453C" w:rsidRDefault="005B7092" w:rsidP="00D9453C">
      <w:pPr>
        <w:pStyle w:val="ReportDate"/>
        <w:rPr>
          <w:b/>
          <w:bCs/>
        </w:rPr>
        <w:sectPr w:rsidR="002F65C7" w:rsidRPr="00D9453C" w:rsidSect="00074A30">
          <w:footerReference w:type="default" r:id="rId9"/>
          <w:footerReference w:type="first" r:id="rId10"/>
          <w:pgSz w:w="12240" w:h="15840" w:code="1"/>
          <w:pgMar w:top="1728" w:right="1080" w:bottom="1440" w:left="1080" w:header="0" w:footer="504" w:gutter="0"/>
          <w:cols w:space="720"/>
          <w:vAlign w:val="center"/>
          <w:titlePg/>
          <w:docGrid w:linePitch="326"/>
        </w:sectPr>
      </w:pPr>
      <w:r w:rsidRPr="005B7092">
        <w:rPr>
          <w:b/>
          <w:bCs/>
        </w:rPr>
        <w:t xml:space="preserve">Application Deadline: </w:t>
      </w:r>
      <w:r w:rsidR="008B4F2B">
        <w:rPr>
          <w:b/>
          <w:bCs/>
          <w:color w:val="C00000"/>
        </w:rPr>
        <w:t xml:space="preserve"> Wednesday, March 12, </w:t>
      </w:r>
      <w:r w:rsidR="00695312">
        <w:rPr>
          <w:b/>
          <w:bCs/>
          <w:color w:val="C00000"/>
        </w:rPr>
        <w:t>2025</w:t>
      </w:r>
      <w:r w:rsidRPr="005B7092">
        <w:rPr>
          <w:b/>
          <w:bCs/>
          <w:color w:val="C00000"/>
        </w:rPr>
        <w:t xml:space="preserve">, </w:t>
      </w:r>
      <w:r w:rsidR="00695312">
        <w:rPr>
          <w:b/>
          <w:bCs/>
          <w:color w:val="C00000"/>
        </w:rPr>
        <w:t>noon</w:t>
      </w:r>
      <w:r w:rsidRPr="005B7092">
        <w:rPr>
          <w:b/>
          <w:bCs/>
        </w:rPr>
        <w:t xml:space="preserve"> </w:t>
      </w:r>
      <w:r w:rsidRPr="007D0FFC">
        <w:rPr>
          <w:b/>
          <w:bCs/>
          <w:color w:val="C00000"/>
        </w:rPr>
        <w:t xml:space="preserve">Central </w:t>
      </w:r>
      <w:r w:rsidR="00E304B4">
        <w:rPr>
          <w:b/>
          <w:bCs/>
          <w:color w:val="C00000"/>
        </w:rPr>
        <w:t>t</w:t>
      </w:r>
      <w:r w:rsidRPr="007D0FFC">
        <w:rPr>
          <w:b/>
          <w:bCs/>
          <w:color w:val="C00000"/>
        </w:rPr>
        <w:t>ime</w:t>
      </w:r>
      <w:bookmarkEnd w:id="5"/>
    </w:p>
    <w:bookmarkStart w:id="6" w:name="_Toc461107855" w:displacedByCustomXml="next"/>
    <w:bookmarkStart w:id="7" w:name="_Toc459133885" w:displacedByCustomXml="next"/>
    <w:sdt>
      <w:sdtPr>
        <w:id w:val="-313881788"/>
        <w:docPartObj>
          <w:docPartGallery w:val="Table of Contents"/>
          <w:docPartUnique/>
        </w:docPartObj>
      </w:sdtPr>
      <w:sdtEndPr>
        <w:rPr>
          <w:b/>
          <w:bCs/>
          <w:noProof/>
        </w:rPr>
      </w:sdtEndPr>
      <w:sdtContent>
        <w:p w14:paraId="72DE94ED" w14:textId="651344B4" w:rsidR="005B7092" w:rsidRPr="005B7092" w:rsidRDefault="0036265D" w:rsidP="005B7092">
          <w:pPr>
            <w:rPr>
              <w:i/>
              <w:iCs/>
              <w:color w:val="003865" w:themeColor="text1"/>
              <w:sz w:val="26"/>
              <w:szCs w:val="26"/>
            </w:rPr>
          </w:pPr>
          <w:r w:rsidRPr="005B7092">
            <w:rPr>
              <w:b/>
              <w:bCs/>
              <w:color w:val="003865" w:themeColor="text1"/>
            </w:rPr>
            <w:t>Table of Contents</w:t>
          </w:r>
          <w:r w:rsidR="005B7092" w:rsidRPr="005B7092">
            <w:rPr>
              <w:b/>
              <w:bCs/>
              <w:color w:val="003865" w:themeColor="text1"/>
            </w:rPr>
            <w:t xml:space="preserve"> </w:t>
          </w:r>
          <w:r w:rsidR="005B7092" w:rsidRPr="00816F45">
            <w:rPr>
              <w:i/>
              <w:iCs/>
              <w:sz w:val="22"/>
            </w:rPr>
            <w:t>(</w:t>
          </w:r>
          <w:r w:rsidR="005B7092" w:rsidRPr="00816F45">
            <w:rPr>
              <w:i/>
              <w:iCs/>
              <w:color w:val="003865" w:themeColor="text1"/>
              <w:sz w:val="22"/>
            </w:rPr>
            <w:t>Hover over section title and CTRL + CLICK to navigate directly to each section.)</w:t>
          </w:r>
        </w:p>
        <w:p w14:paraId="23F9AB74" w14:textId="5CA5CDB2" w:rsidR="00113419" w:rsidRDefault="0036265D">
          <w:pPr>
            <w:pStyle w:val="TOC2"/>
            <w:rPr>
              <w:rFonts w:asciiTheme="minorHAnsi" w:eastAsiaTheme="minorEastAsia" w:hAnsiTheme="minorHAnsi" w:cstheme="minorBidi"/>
              <w:noProof/>
              <w:kern w:val="2"/>
              <w:sz w:val="22"/>
              <w:lang w:bidi="ar-SA"/>
              <w14:ligatures w14:val="standardContextual"/>
            </w:rPr>
          </w:pPr>
          <w:r>
            <w:fldChar w:fldCharType="begin"/>
          </w:r>
          <w:r>
            <w:instrText xml:space="preserve"> TOC \o "1-3" \h \z \u </w:instrText>
          </w:r>
          <w:r>
            <w:fldChar w:fldCharType="separate"/>
          </w:r>
          <w:hyperlink w:anchor="_Toc188863853" w:history="1">
            <w:r w:rsidR="00113419" w:rsidRPr="00E42B4C">
              <w:rPr>
                <w:rStyle w:val="Hyperlink"/>
                <w:noProof/>
              </w:rPr>
              <w:t>A.</w:t>
            </w:r>
            <w:r w:rsidR="00113419">
              <w:rPr>
                <w:rFonts w:asciiTheme="minorHAnsi" w:eastAsiaTheme="minorEastAsia" w:hAnsiTheme="minorHAnsi" w:cstheme="minorBidi"/>
                <w:noProof/>
                <w:kern w:val="2"/>
                <w:sz w:val="22"/>
                <w:lang w:bidi="ar-SA"/>
                <w14:ligatures w14:val="standardContextual"/>
              </w:rPr>
              <w:tab/>
            </w:r>
            <w:r w:rsidR="00113419" w:rsidRPr="00E42B4C">
              <w:rPr>
                <w:rStyle w:val="Hyperlink"/>
                <w:noProof/>
              </w:rPr>
              <w:t>Overview</w:t>
            </w:r>
            <w:r w:rsidR="00113419">
              <w:rPr>
                <w:noProof/>
                <w:webHidden/>
              </w:rPr>
              <w:tab/>
            </w:r>
            <w:r w:rsidR="00113419">
              <w:rPr>
                <w:noProof/>
                <w:webHidden/>
              </w:rPr>
              <w:fldChar w:fldCharType="begin"/>
            </w:r>
            <w:r w:rsidR="00113419">
              <w:rPr>
                <w:noProof/>
                <w:webHidden/>
              </w:rPr>
              <w:instrText xml:space="preserve"> PAGEREF _Toc188863853 \h </w:instrText>
            </w:r>
            <w:r w:rsidR="00113419">
              <w:rPr>
                <w:noProof/>
                <w:webHidden/>
              </w:rPr>
            </w:r>
            <w:r w:rsidR="00113419">
              <w:rPr>
                <w:noProof/>
                <w:webHidden/>
              </w:rPr>
              <w:fldChar w:fldCharType="separate"/>
            </w:r>
            <w:r w:rsidR="00687162">
              <w:rPr>
                <w:noProof/>
                <w:webHidden/>
              </w:rPr>
              <w:t>1</w:t>
            </w:r>
            <w:r w:rsidR="00113419">
              <w:rPr>
                <w:noProof/>
                <w:webHidden/>
              </w:rPr>
              <w:fldChar w:fldCharType="end"/>
            </w:r>
          </w:hyperlink>
        </w:p>
        <w:p w14:paraId="3C33433A" w14:textId="4479735A" w:rsidR="00113419" w:rsidRDefault="005518DB">
          <w:pPr>
            <w:pStyle w:val="TOC2"/>
            <w:rPr>
              <w:rFonts w:asciiTheme="minorHAnsi" w:eastAsiaTheme="minorEastAsia" w:hAnsiTheme="minorHAnsi" w:cstheme="minorBidi"/>
              <w:noProof/>
              <w:kern w:val="2"/>
              <w:sz w:val="22"/>
              <w:lang w:bidi="ar-SA"/>
              <w14:ligatures w14:val="standardContextual"/>
            </w:rPr>
          </w:pPr>
          <w:hyperlink w:anchor="_Toc188863854" w:history="1">
            <w:r w:rsidR="00113419" w:rsidRPr="00E42B4C">
              <w:rPr>
                <w:rStyle w:val="Hyperlink"/>
                <w:noProof/>
              </w:rPr>
              <w:t>B.</w:t>
            </w:r>
            <w:r w:rsidR="00113419">
              <w:rPr>
                <w:rFonts w:asciiTheme="minorHAnsi" w:eastAsiaTheme="minorEastAsia" w:hAnsiTheme="minorHAnsi" w:cstheme="minorBidi"/>
                <w:noProof/>
                <w:kern w:val="2"/>
                <w:sz w:val="22"/>
                <w:lang w:bidi="ar-SA"/>
                <w14:ligatures w14:val="standardContextual"/>
              </w:rPr>
              <w:tab/>
            </w:r>
            <w:r w:rsidR="00113419" w:rsidRPr="00E42B4C">
              <w:rPr>
                <w:rStyle w:val="Hyperlink"/>
                <w:noProof/>
              </w:rPr>
              <w:t>Available Funding</w:t>
            </w:r>
            <w:r w:rsidR="00113419">
              <w:rPr>
                <w:noProof/>
                <w:webHidden/>
              </w:rPr>
              <w:tab/>
            </w:r>
            <w:r w:rsidR="00113419">
              <w:rPr>
                <w:noProof/>
                <w:webHidden/>
              </w:rPr>
              <w:fldChar w:fldCharType="begin"/>
            </w:r>
            <w:r w:rsidR="00113419">
              <w:rPr>
                <w:noProof/>
                <w:webHidden/>
              </w:rPr>
              <w:instrText xml:space="preserve"> PAGEREF _Toc188863854 \h </w:instrText>
            </w:r>
            <w:r w:rsidR="00113419">
              <w:rPr>
                <w:noProof/>
                <w:webHidden/>
              </w:rPr>
            </w:r>
            <w:r w:rsidR="00113419">
              <w:rPr>
                <w:noProof/>
                <w:webHidden/>
              </w:rPr>
              <w:fldChar w:fldCharType="separate"/>
            </w:r>
            <w:r w:rsidR="00687162">
              <w:rPr>
                <w:noProof/>
                <w:webHidden/>
              </w:rPr>
              <w:t>1</w:t>
            </w:r>
            <w:r w:rsidR="00113419">
              <w:rPr>
                <w:noProof/>
                <w:webHidden/>
              </w:rPr>
              <w:fldChar w:fldCharType="end"/>
            </w:r>
          </w:hyperlink>
        </w:p>
        <w:p w14:paraId="15A6E9DB" w14:textId="581A7725" w:rsidR="00113419" w:rsidRDefault="005518DB">
          <w:pPr>
            <w:pStyle w:val="TOC2"/>
            <w:rPr>
              <w:rFonts w:asciiTheme="minorHAnsi" w:eastAsiaTheme="minorEastAsia" w:hAnsiTheme="minorHAnsi" w:cstheme="minorBidi"/>
              <w:noProof/>
              <w:kern w:val="2"/>
              <w:sz w:val="22"/>
              <w:lang w:bidi="ar-SA"/>
              <w14:ligatures w14:val="standardContextual"/>
            </w:rPr>
          </w:pPr>
          <w:hyperlink w:anchor="_Toc188863855" w:history="1">
            <w:r w:rsidR="00113419" w:rsidRPr="00E42B4C">
              <w:rPr>
                <w:rStyle w:val="Hyperlink"/>
                <w:noProof/>
              </w:rPr>
              <w:t>C.</w:t>
            </w:r>
            <w:r w:rsidR="00113419">
              <w:rPr>
                <w:rFonts w:asciiTheme="minorHAnsi" w:eastAsiaTheme="minorEastAsia" w:hAnsiTheme="minorHAnsi" w:cstheme="minorBidi"/>
                <w:noProof/>
                <w:kern w:val="2"/>
                <w:sz w:val="22"/>
                <w:lang w:bidi="ar-SA"/>
                <w14:ligatures w14:val="standardContextual"/>
              </w:rPr>
              <w:tab/>
            </w:r>
            <w:r w:rsidR="00113419" w:rsidRPr="00E42B4C">
              <w:rPr>
                <w:rStyle w:val="Hyperlink"/>
                <w:noProof/>
              </w:rPr>
              <w:t>Eligible Organizations</w:t>
            </w:r>
            <w:r w:rsidR="00113419">
              <w:rPr>
                <w:noProof/>
                <w:webHidden/>
              </w:rPr>
              <w:tab/>
            </w:r>
            <w:r w:rsidR="00113419">
              <w:rPr>
                <w:noProof/>
                <w:webHidden/>
              </w:rPr>
              <w:fldChar w:fldCharType="begin"/>
            </w:r>
            <w:r w:rsidR="00113419">
              <w:rPr>
                <w:noProof/>
                <w:webHidden/>
              </w:rPr>
              <w:instrText xml:space="preserve"> PAGEREF _Toc188863855 \h </w:instrText>
            </w:r>
            <w:r w:rsidR="00113419">
              <w:rPr>
                <w:noProof/>
                <w:webHidden/>
              </w:rPr>
            </w:r>
            <w:r w:rsidR="00113419">
              <w:rPr>
                <w:noProof/>
                <w:webHidden/>
              </w:rPr>
              <w:fldChar w:fldCharType="separate"/>
            </w:r>
            <w:r w:rsidR="00687162">
              <w:rPr>
                <w:noProof/>
                <w:webHidden/>
              </w:rPr>
              <w:t>1</w:t>
            </w:r>
            <w:r w:rsidR="00113419">
              <w:rPr>
                <w:noProof/>
                <w:webHidden/>
              </w:rPr>
              <w:fldChar w:fldCharType="end"/>
            </w:r>
          </w:hyperlink>
        </w:p>
        <w:p w14:paraId="3F662B9C" w14:textId="49C7C8C4" w:rsidR="00113419" w:rsidRDefault="005518DB">
          <w:pPr>
            <w:pStyle w:val="TOC2"/>
            <w:rPr>
              <w:rFonts w:asciiTheme="minorHAnsi" w:eastAsiaTheme="minorEastAsia" w:hAnsiTheme="minorHAnsi" w:cstheme="minorBidi"/>
              <w:noProof/>
              <w:kern w:val="2"/>
              <w:sz w:val="22"/>
              <w:lang w:bidi="ar-SA"/>
              <w14:ligatures w14:val="standardContextual"/>
            </w:rPr>
          </w:pPr>
          <w:hyperlink w:anchor="_Toc188863856" w:history="1">
            <w:r w:rsidR="00113419" w:rsidRPr="00E42B4C">
              <w:rPr>
                <w:rStyle w:val="Hyperlink"/>
                <w:noProof/>
              </w:rPr>
              <w:t>D.</w:t>
            </w:r>
            <w:r w:rsidR="00113419">
              <w:rPr>
                <w:rFonts w:asciiTheme="minorHAnsi" w:eastAsiaTheme="minorEastAsia" w:hAnsiTheme="minorHAnsi" w:cstheme="minorBidi"/>
                <w:noProof/>
                <w:kern w:val="2"/>
                <w:sz w:val="22"/>
                <w:lang w:bidi="ar-SA"/>
                <w14:ligatures w14:val="standardContextual"/>
              </w:rPr>
              <w:tab/>
            </w:r>
            <w:r w:rsidR="00113419" w:rsidRPr="00E42B4C">
              <w:rPr>
                <w:rStyle w:val="Hyperlink"/>
                <w:noProof/>
              </w:rPr>
              <w:t>Eligible Uses/Projects</w:t>
            </w:r>
            <w:r w:rsidR="00113419">
              <w:rPr>
                <w:noProof/>
                <w:webHidden/>
              </w:rPr>
              <w:tab/>
            </w:r>
            <w:r w:rsidR="00113419">
              <w:rPr>
                <w:noProof/>
                <w:webHidden/>
              </w:rPr>
              <w:fldChar w:fldCharType="begin"/>
            </w:r>
            <w:r w:rsidR="00113419">
              <w:rPr>
                <w:noProof/>
                <w:webHidden/>
              </w:rPr>
              <w:instrText xml:space="preserve"> PAGEREF _Toc188863856 \h </w:instrText>
            </w:r>
            <w:r w:rsidR="00113419">
              <w:rPr>
                <w:noProof/>
                <w:webHidden/>
              </w:rPr>
            </w:r>
            <w:r w:rsidR="00113419">
              <w:rPr>
                <w:noProof/>
                <w:webHidden/>
              </w:rPr>
              <w:fldChar w:fldCharType="separate"/>
            </w:r>
            <w:r w:rsidR="00687162">
              <w:rPr>
                <w:noProof/>
                <w:webHidden/>
              </w:rPr>
              <w:t>2</w:t>
            </w:r>
            <w:r w:rsidR="00113419">
              <w:rPr>
                <w:noProof/>
                <w:webHidden/>
              </w:rPr>
              <w:fldChar w:fldCharType="end"/>
            </w:r>
          </w:hyperlink>
        </w:p>
        <w:p w14:paraId="4DA3CA3A" w14:textId="094DB8DB" w:rsidR="00113419" w:rsidRDefault="005518DB">
          <w:pPr>
            <w:pStyle w:val="TOC2"/>
            <w:rPr>
              <w:rFonts w:asciiTheme="minorHAnsi" w:eastAsiaTheme="minorEastAsia" w:hAnsiTheme="minorHAnsi" w:cstheme="minorBidi"/>
              <w:noProof/>
              <w:kern w:val="2"/>
              <w:sz w:val="22"/>
              <w:lang w:bidi="ar-SA"/>
              <w14:ligatures w14:val="standardContextual"/>
            </w:rPr>
          </w:pPr>
          <w:hyperlink w:anchor="_Toc188863857" w:history="1">
            <w:r w:rsidR="00113419" w:rsidRPr="00E42B4C">
              <w:rPr>
                <w:rStyle w:val="Hyperlink"/>
                <w:noProof/>
              </w:rPr>
              <w:t>E.</w:t>
            </w:r>
            <w:r w:rsidR="00113419">
              <w:rPr>
                <w:rFonts w:asciiTheme="minorHAnsi" w:eastAsiaTheme="minorEastAsia" w:hAnsiTheme="minorHAnsi" w:cstheme="minorBidi"/>
                <w:noProof/>
                <w:kern w:val="2"/>
                <w:sz w:val="22"/>
                <w:lang w:bidi="ar-SA"/>
                <w14:ligatures w14:val="standardContextual"/>
              </w:rPr>
              <w:tab/>
            </w:r>
            <w:r w:rsidR="00113419" w:rsidRPr="00E42B4C">
              <w:rPr>
                <w:rStyle w:val="Hyperlink"/>
                <w:noProof/>
              </w:rPr>
              <w:t>Program Expectations</w:t>
            </w:r>
            <w:r w:rsidR="00113419">
              <w:rPr>
                <w:noProof/>
                <w:webHidden/>
              </w:rPr>
              <w:tab/>
            </w:r>
            <w:r w:rsidR="00113419">
              <w:rPr>
                <w:noProof/>
                <w:webHidden/>
              </w:rPr>
              <w:fldChar w:fldCharType="begin"/>
            </w:r>
            <w:r w:rsidR="00113419">
              <w:rPr>
                <w:noProof/>
                <w:webHidden/>
              </w:rPr>
              <w:instrText xml:space="preserve"> PAGEREF _Toc188863857 \h </w:instrText>
            </w:r>
            <w:r w:rsidR="00113419">
              <w:rPr>
                <w:noProof/>
                <w:webHidden/>
              </w:rPr>
            </w:r>
            <w:r w:rsidR="00113419">
              <w:rPr>
                <w:noProof/>
                <w:webHidden/>
              </w:rPr>
              <w:fldChar w:fldCharType="separate"/>
            </w:r>
            <w:r w:rsidR="00687162">
              <w:rPr>
                <w:noProof/>
                <w:webHidden/>
              </w:rPr>
              <w:t>2</w:t>
            </w:r>
            <w:r w:rsidR="00113419">
              <w:rPr>
                <w:noProof/>
                <w:webHidden/>
              </w:rPr>
              <w:fldChar w:fldCharType="end"/>
            </w:r>
          </w:hyperlink>
        </w:p>
        <w:p w14:paraId="1F91E2A5" w14:textId="3792C229" w:rsidR="00113419" w:rsidRDefault="005518DB">
          <w:pPr>
            <w:pStyle w:val="TOC3"/>
            <w:tabs>
              <w:tab w:val="right" w:leader="dot" w:pos="10070"/>
            </w:tabs>
            <w:rPr>
              <w:rFonts w:asciiTheme="minorHAnsi" w:eastAsiaTheme="minorEastAsia" w:hAnsiTheme="minorHAnsi" w:cstheme="minorBidi"/>
              <w:noProof/>
              <w:kern w:val="2"/>
              <w:sz w:val="22"/>
              <w:lang w:bidi="ar-SA"/>
              <w14:ligatures w14:val="standardContextual"/>
            </w:rPr>
          </w:pPr>
          <w:hyperlink w:anchor="_Toc188863858" w:history="1">
            <w:r w:rsidR="00113419" w:rsidRPr="00E42B4C">
              <w:rPr>
                <w:rStyle w:val="Hyperlink"/>
                <w:noProof/>
              </w:rPr>
              <w:t>E.1 Program Overview</w:t>
            </w:r>
            <w:r w:rsidR="00113419">
              <w:rPr>
                <w:noProof/>
                <w:webHidden/>
              </w:rPr>
              <w:tab/>
            </w:r>
            <w:r w:rsidR="00113419">
              <w:rPr>
                <w:noProof/>
                <w:webHidden/>
              </w:rPr>
              <w:fldChar w:fldCharType="begin"/>
            </w:r>
            <w:r w:rsidR="00113419">
              <w:rPr>
                <w:noProof/>
                <w:webHidden/>
              </w:rPr>
              <w:instrText xml:space="preserve"> PAGEREF _Toc188863858 \h </w:instrText>
            </w:r>
            <w:r w:rsidR="00113419">
              <w:rPr>
                <w:noProof/>
                <w:webHidden/>
              </w:rPr>
            </w:r>
            <w:r w:rsidR="00113419">
              <w:rPr>
                <w:noProof/>
                <w:webHidden/>
              </w:rPr>
              <w:fldChar w:fldCharType="separate"/>
            </w:r>
            <w:r w:rsidR="00687162">
              <w:rPr>
                <w:noProof/>
                <w:webHidden/>
              </w:rPr>
              <w:t>2</w:t>
            </w:r>
            <w:r w:rsidR="00113419">
              <w:rPr>
                <w:noProof/>
                <w:webHidden/>
              </w:rPr>
              <w:fldChar w:fldCharType="end"/>
            </w:r>
          </w:hyperlink>
        </w:p>
        <w:p w14:paraId="3AB0AA09" w14:textId="55652B25" w:rsidR="00113419" w:rsidRDefault="005518DB">
          <w:pPr>
            <w:pStyle w:val="TOC2"/>
            <w:rPr>
              <w:rFonts w:asciiTheme="minorHAnsi" w:eastAsiaTheme="minorEastAsia" w:hAnsiTheme="minorHAnsi" w:cstheme="minorBidi"/>
              <w:noProof/>
              <w:kern w:val="2"/>
              <w:sz w:val="22"/>
              <w:lang w:bidi="ar-SA"/>
              <w14:ligatures w14:val="standardContextual"/>
            </w:rPr>
          </w:pPr>
          <w:hyperlink w:anchor="_Toc188863859" w:history="1">
            <w:r w:rsidR="00113419" w:rsidRPr="00E42B4C">
              <w:rPr>
                <w:rStyle w:val="Hyperlink"/>
                <w:noProof/>
              </w:rPr>
              <w:t>F.</w:t>
            </w:r>
            <w:r w:rsidR="00113419">
              <w:rPr>
                <w:rFonts w:asciiTheme="minorHAnsi" w:eastAsiaTheme="minorEastAsia" w:hAnsiTheme="minorHAnsi" w:cstheme="minorBidi"/>
                <w:noProof/>
                <w:kern w:val="2"/>
                <w:sz w:val="22"/>
                <w:lang w:bidi="ar-SA"/>
                <w14:ligatures w14:val="standardContextual"/>
              </w:rPr>
              <w:tab/>
            </w:r>
            <w:r w:rsidR="00113419" w:rsidRPr="00E42B4C">
              <w:rPr>
                <w:rStyle w:val="Hyperlink"/>
                <w:noProof/>
              </w:rPr>
              <w:t>Equity</w:t>
            </w:r>
            <w:r w:rsidR="00113419">
              <w:rPr>
                <w:noProof/>
                <w:webHidden/>
              </w:rPr>
              <w:tab/>
            </w:r>
            <w:r w:rsidR="00113419">
              <w:rPr>
                <w:noProof/>
                <w:webHidden/>
              </w:rPr>
              <w:fldChar w:fldCharType="begin"/>
            </w:r>
            <w:r w:rsidR="00113419">
              <w:rPr>
                <w:noProof/>
                <w:webHidden/>
              </w:rPr>
              <w:instrText xml:space="preserve"> PAGEREF _Toc188863859 \h </w:instrText>
            </w:r>
            <w:r w:rsidR="00113419">
              <w:rPr>
                <w:noProof/>
                <w:webHidden/>
              </w:rPr>
            </w:r>
            <w:r w:rsidR="00113419">
              <w:rPr>
                <w:noProof/>
                <w:webHidden/>
              </w:rPr>
              <w:fldChar w:fldCharType="separate"/>
            </w:r>
            <w:r w:rsidR="00687162">
              <w:rPr>
                <w:noProof/>
                <w:webHidden/>
              </w:rPr>
              <w:t>3</w:t>
            </w:r>
            <w:r w:rsidR="00113419">
              <w:rPr>
                <w:noProof/>
                <w:webHidden/>
              </w:rPr>
              <w:fldChar w:fldCharType="end"/>
            </w:r>
          </w:hyperlink>
        </w:p>
        <w:p w14:paraId="2677E9CC" w14:textId="3D5EAEF6" w:rsidR="00113419" w:rsidRDefault="005518DB">
          <w:pPr>
            <w:pStyle w:val="TOC2"/>
            <w:rPr>
              <w:rFonts w:asciiTheme="minorHAnsi" w:eastAsiaTheme="minorEastAsia" w:hAnsiTheme="minorHAnsi" w:cstheme="minorBidi"/>
              <w:noProof/>
              <w:kern w:val="2"/>
              <w:sz w:val="22"/>
              <w:lang w:bidi="ar-SA"/>
              <w14:ligatures w14:val="standardContextual"/>
            </w:rPr>
          </w:pPr>
          <w:hyperlink w:anchor="_Toc188863860" w:history="1">
            <w:r w:rsidR="00113419" w:rsidRPr="00E42B4C">
              <w:rPr>
                <w:rStyle w:val="Hyperlink"/>
                <w:noProof/>
              </w:rPr>
              <w:t>G.</w:t>
            </w:r>
            <w:r w:rsidR="00113419">
              <w:rPr>
                <w:rFonts w:asciiTheme="minorHAnsi" w:eastAsiaTheme="minorEastAsia" w:hAnsiTheme="minorHAnsi" w:cstheme="minorBidi"/>
                <w:noProof/>
                <w:kern w:val="2"/>
                <w:sz w:val="22"/>
                <w:lang w:bidi="ar-SA"/>
                <w14:ligatures w14:val="standardContextual"/>
              </w:rPr>
              <w:tab/>
            </w:r>
            <w:r w:rsidR="00113419" w:rsidRPr="00E42B4C">
              <w:rPr>
                <w:rStyle w:val="Hyperlink"/>
                <w:noProof/>
              </w:rPr>
              <w:t>Review Criteria</w:t>
            </w:r>
            <w:r w:rsidR="00113419">
              <w:rPr>
                <w:noProof/>
                <w:webHidden/>
              </w:rPr>
              <w:tab/>
            </w:r>
            <w:r w:rsidR="00113419">
              <w:rPr>
                <w:noProof/>
                <w:webHidden/>
              </w:rPr>
              <w:fldChar w:fldCharType="begin"/>
            </w:r>
            <w:r w:rsidR="00113419">
              <w:rPr>
                <w:noProof/>
                <w:webHidden/>
              </w:rPr>
              <w:instrText xml:space="preserve"> PAGEREF _Toc188863860 \h </w:instrText>
            </w:r>
            <w:r w:rsidR="00113419">
              <w:rPr>
                <w:noProof/>
                <w:webHidden/>
              </w:rPr>
            </w:r>
            <w:r w:rsidR="00113419">
              <w:rPr>
                <w:noProof/>
                <w:webHidden/>
              </w:rPr>
              <w:fldChar w:fldCharType="separate"/>
            </w:r>
            <w:r w:rsidR="00687162">
              <w:rPr>
                <w:noProof/>
                <w:webHidden/>
              </w:rPr>
              <w:t>4</w:t>
            </w:r>
            <w:r w:rsidR="00113419">
              <w:rPr>
                <w:noProof/>
                <w:webHidden/>
              </w:rPr>
              <w:fldChar w:fldCharType="end"/>
            </w:r>
          </w:hyperlink>
        </w:p>
        <w:p w14:paraId="6150F85F" w14:textId="5A7AB119" w:rsidR="00113419" w:rsidRDefault="005518DB">
          <w:pPr>
            <w:pStyle w:val="TOC3"/>
            <w:tabs>
              <w:tab w:val="right" w:leader="dot" w:pos="10070"/>
            </w:tabs>
            <w:rPr>
              <w:rFonts w:asciiTheme="minorHAnsi" w:eastAsiaTheme="minorEastAsia" w:hAnsiTheme="minorHAnsi" w:cstheme="minorBidi"/>
              <w:noProof/>
              <w:kern w:val="2"/>
              <w:sz w:val="22"/>
              <w:lang w:bidi="ar-SA"/>
              <w14:ligatures w14:val="standardContextual"/>
            </w:rPr>
          </w:pPr>
          <w:hyperlink w:anchor="_Toc188863861" w:history="1">
            <w:r w:rsidR="00113419" w:rsidRPr="00E42B4C">
              <w:rPr>
                <w:rStyle w:val="Hyperlink"/>
                <w:noProof/>
              </w:rPr>
              <w:t>G.1 Threshold Criteria</w:t>
            </w:r>
            <w:r w:rsidR="00113419">
              <w:rPr>
                <w:noProof/>
                <w:webHidden/>
              </w:rPr>
              <w:tab/>
            </w:r>
            <w:r w:rsidR="00113419">
              <w:rPr>
                <w:noProof/>
                <w:webHidden/>
              </w:rPr>
              <w:fldChar w:fldCharType="begin"/>
            </w:r>
            <w:r w:rsidR="00113419">
              <w:rPr>
                <w:noProof/>
                <w:webHidden/>
              </w:rPr>
              <w:instrText xml:space="preserve"> PAGEREF _Toc188863861 \h </w:instrText>
            </w:r>
            <w:r w:rsidR="00113419">
              <w:rPr>
                <w:noProof/>
                <w:webHidden/>
              </w:rPr>
            </w:r>
            <w:r w:rsidR="00113419">
              <w:rPr>
                <w:noProof/>
                <w:webHidden/>
              </w:rPr>
              <w:fldChar w:fldCharType="separate"/>
            </w:r>
            <w:r w:rsidR="00687162">
              <w:rPr>
                <w:noProof/>
                <w:webHidden/>
              </w:rPr>
              <w:t>4</w:t>
            </w:r>
            <w:r w:rsidR="00113419">
              <w:rPr>
                <w:noProof/>
                <w:webHidden/>
              </w:rPr>
              <w:fldChar w:fldCharType="end"/>
            </w:r>
          </w:hyperlink>
        </w:p>
        <w:p w14:paraId="7A55365D" w14:textId="3C15F742" w:rsidR="00113419" w:rsidRDefault="005518DB">
          <w:pPr>
            <w:pStyle w:val="TOC3"/>
            <w:tabs>
              <w:tab w:val="right" w:leader="dot" w:pos="10070"/>
            </w:tabs>
            <w:rPr>
              <w:rFonts w:asciiTheme="minorHAnsi" w:eastAsiaTheme="minorEastAsia" w:hAnsiTheme="minorHAnsi" w:cstheme="minorBidi"/>
              <w:noProof/>
              <w:kern w:val="2"/>
              <w:sz w:val="22"/>
              <w:lang w:bidi="ar-SA"/>
              <w14:ligatures w14:val="standardContextual"/>
            </w:rPr>
          </w:pPr>
          <w:hyperlink w:anchor="_Toc188863862" w:history="1">
            <w:r w:rsidR="00113419" w:rsidRPr="00E42B4C">
              <w:rPr>
                <w:rStyle w:val="Hyperlink"/>
                <w:noProof/>
              </w:rPr>
              <w:t>G.2 Competitive Criteria</w:t>
            </w:r>
            <w:r w:rsidR="00113419">
              <w:rPr>
                <w:noProof/>
                <w:webHidden/>
              </w:rPr>
              <w:tab/>
            </w:r>
            <w:r w:rsidR="00113419">
              <w:rPr>
                <w:noProof/>
                <w:webHidden/>
              </w:rPr>
              <w:fldChar w:fldCharType="begin"/>
            </w:r>
            <w:r w:rsidR="00113419">
              <w:rPr>
                <w:noProof/>
                <w:webHidden/>
              </w:rPr>
              <w:instrText xml:space="preserve"> PAGEREF _Toc188863862 \h </w:instrText>
            </w:r>
            <w:r w:rsidR="00113419">
              <w:rPr>
                <w:noProof/>
                <w:webHidden/>
              </w:rPr>
            </w:r>
            <w:r w:rsidR="00113419">
              <w:rPr>
                <w:noProof/>
                <w:webHidden/>
              </w:rPr>
              <w:fldChar w:fldCharType="separate"/>
            </w:r>
            <w:r w:rsidR="00687162">
              <w:rPr>
                <w:noProof/>
                <w:webHidden/>
              </w:rPr>
              <w:t>5</w:t>
            </w:r>
            <w:r w:rsidR="00113419">
              <w:rPr>
                <w:noProof/>
                <w:webHidden/>
              </w:rPr>
              <w:fldChar w:fldCharType="end"/>
            </w:r>
          </w:hyperlink>
        </w:p>
        <w:p w14:paraId="32139688" w14:textId="21BB9050" w:rsidR="00113419" w:rsidRDefault="005518DB">
          <w:pPr>
            <w:pStyle w:val="TOC3"/>
            <w:tabs>
              <w:tab w:val="right" w:leader="dot" w:pos="10070"/>
            </w:tabs>
            <w:rPr>
              <w:rFonts w:asciiTheme="minorHAnsi" w:eastAsiaTheme="minorEastAsia" w:hAnsiTheme="minorHAnsi" w:cstheme="minorBidi"/>
              <w:noProof/>
              <w:kern w:val="2"/>
              <w:sz w:val="22"/>
              <w:lang w:bidi="ar-SA"/>
              <w14:ligatures w14:val="standardContextual"/>
            </w:rPr>
          </w:pPr>
          <w:hyperlink w:anchor="_Toc188863863" w:history="1">
            <w:r w:rsidR="00113419" w:rsidRPr="00E42B4C">
              <w:rPr>
                <w:rStyle w:val="Hyperlink"/>
                <w:noProof/>
              </w:rPr>
              <w:t>G.3 Leveraged Funds</w:t>
            </w:r>
            <w:r w:rsidR="00113419">
              <w:rPr>
                <w:noProof/>
                <w:webHidden/>
              </w:rPr>
              <w:tab/>
            </w:r>
            <w:r w:rsidR="00113419">
              <w:rPr>
                <w:noProof/>
                <w:webHidden/>
              </w:rPr>
              <w:fldChar w:fldCharType="begin"/>
            </w:r>
            <w:r w:rsidR="00113419">
              <w:rPr>
                <w:noProof/>
                <w:webHidden/>
              </w:rPr>
              <w:instrText xml:space="preserve"> PAGEREF _Toc188863863 \h </w:instrText>
            </w:r>
            <w:r w:rsidR="00113419">
              <w:rPr>
                <w:noProof/>
                <w:webHidden/>
              </w:rPr>
            </w:r>
            <w:r w:rsidR="00113419">
              <w:rPr>
                <w:noProof/>
                <w:webHidden/>
              </w:rPr>
              <w:fldChar w:fldCharType="separate"/>
            </w:r>
            <w:r w:rsidR="00687162">
              <w:rPr>
                <w:noProof/>
                <w:webHidden/>
              </w:rPr>
              <w:t>7</w:t>
            </w:r>
            <w:r w:rsidR="00113419">
              <w:rPr>
                <w:noProof/>
                <w:webHidden/>
              </w:rPr>
              <w:fldChar w:fldCharType="end"/>
            </w:r>
          </w:hyperlink>
        </w:p>
        <w:p w14:paraId="3482A5EA" w14:textId="14665CEB" w:rsidR="00113419" w:rsidRDefault="005518DB">
          <w:pPr>
            <w:pStyle w:val="TOC2"/>
            <w:rPr>
              <w:rFonts w:asciiTheme="minorHAnsi" w:eastAsiaTheme="minorEastAsia" w:hAnsiTheme="minorHAnsi" w:cstheme="minorBidi"/>
              <w:noProof/>
              <w:kern w:val="2"/>
              <w:sz w:val="22"/>
              <w:lang w:bidi="ar-SA"/>
              <w14:ligatures w14:val="standardContextual"/>
            </w:rPr>
          </w:pPr>
          <w:hyperlink w:anchor="_Toc188863864" w:history="1">
            <w:r w:rsidR="00113419" w:rsidRPr="00E42B4C">
              <w:rPr>
                <w:rStyle w:val="Hyperlink"/>
                <w:noProof/>
              </w:rPr>
              <w:t>H.</w:t>
            </w:r>
            <w:r w:rsidR="00113419">
              <w:rPr>
                <w:rFonts w:asciiTheme="minorHAnsi" w:eastAsiaTheme="minorEastAsia" w:hAnsiTheme="minorHAnsi" w:cstheme="minorBidi"/>
                <w:noProof/>
                <w:kern w:val="2"/>
                <w:sz w:val="22"/>
                <w:lang w:bidi="ar-SA"/>
                <w14:ligatures w14:val="standardContextual"/>
              </w:rPr>
              <w:tab/>
            </w:r>
            <w:r w:rsidR="00113419" w:rsidRPr="00E42B4C">
              <w:rPr>
                <w:rStyle w:val="Hyperlink"/>
                <w:noProof/>
              </w:rPr>
              <w:t>Pre-Award Risk Assessment</w:t>
            </w:r>
            <w:r w:rsidR="00113419">
              <w:rPr>
                <w:noProof/>
                <w:webHidden/>
              </w:rPr>
              <w:tab/>
            </w:r>
            <w:r w:rsidR="00113419">
              <w:rPr>
                <w:noProof/>
                <w:webHidden/>
              </w:rPr>
              <w:fldChar w:fldCharType="begin"/>
            </w:r>
            <w:r w:rsidR="00113419">
              <w:rPr>
                <w:noProof/>
                <w:webHidden/>
              </w:rPr>
              <w:instrText xml:space="preserve"> PAGEREF _Toc188863864 \h </w:instrText>
            </w:r>
            <w:r w:rsidR="00113419">
              <w:rPr>
                <w:noProof/>
                <w:webHidden/>
              </w:rPr>
            </w:r>
            <w:r w:rsidR="00113419">
              <w:rPr>
                <w:noProof/>
                <w:webHidden/>
              </w:rPr>
              <w:fldChar w:fldCharType="separate"/>
            </w:r>
            <w:r w:rsidR="00687162">
              <w:rPr>
                <w:noProof/>
                <w:webHidden/>
              </w:rPr>
              <w:t>8</w:t>
            </w:r>
            <w:r w:rsidR="00113419">
              <w:rPr>
                <w:noProof/>
                <w:webHidden/>
              </w:rPr>
              <w:fldChar w:fldCharType="end"/>
            </w:r>
          </w:hyperlink>
        </w:p>
        <w:p w14:paraId="1323D8ED" w14:textId="5F25CE1D" w:rsidR="00113419" w:rsidRDefault="005518DB">
          <w:pPr>
            <w:pStyle w:val="TOC2"/>
            <w:rPr>
              <w:rFonts w:asciiTheme="minorHAnsi" w:eastAsiaTheme="minorEastAsia" w:hAnsiTheme="minorHAnsi" w:cstheme="minorBidi"/>
              <w:noProof/>
              <w:kern w:val="2"/>
              <w:sz w:val="22"/>
              <w:lang w:bidi="ar-SA"/>
              <w14:ligatures w14:val="standardContextual"/>
            </w:rPr>
          </w:pPr>
          <w:hyperlink w:anchor="_Toc188863865" w:history="1">
            <w:r w:rsidR="00113419" w:rsidRPr="00E42B4C">
              <w:rPr>
                <w:rStyle w:val="Hyperlink"/>
                <w:noProof/>
              </w:rPr>
              <w:t xml:space="preserve">I. </w:t>
            </w:r>
            <w:r w:rsidR="00113419">
              <w:rPr>
                <w:rFonts w:asciiTheme="minorHAnsi" w:eastAsiaTheme="minorEastAsia" w:hAnsiTheme="minorHAnsi" w:cstheme="minorBidi"/>
                <w:noProof/>
                <w:kern w:val="2"/>
                <w:sz w:val="22"/>
                <w:lang w:bidi="ar-SA"/>
                <w14:ligatures w14:val="standardContextual"/>
              </w:rPr>
              <w:tab/>
            </w:r>
            <w:r w:rsidR="00113419" w:rsidRPr="00E42B4C">
              <w:rPr>
                <w:rStyle w:val="Hyperlink"/>
                <w:noProof/>
              </w:rPr>
              <w:t>Application</w:t>
            </w:r>
            <w:r w:rsidR="00113419">
              <w:rPr>
                <w:noProof/>
                <w:webHidden/>
              </w:rPr>
              <w:tab/>
            </w:r>
            <w:r w:rsidR="00113419">
              <w:rPr>
                <w:noProof/>
                <w:webHidden/>
              </w:rPr>
              <w:fldChar w:fldCharType="begin"/>
            </w:r>
            <w:r w:rsidR="00113419">
              <w:rPr>
                <w:noProof/>
                <w:webHidden/>
              </w:rPr>
              <w:instrText xml:space="preserve"> PAGEREF _Toc188863865 \h </w:instrText>
            </w:r>
            <w:r w:rsidR="00113419">
              <w:rPr>
                <w:noProof/>
                <w:webHidden/>
              </w:rPr>
            </w:r>
            <w:r w:rsidR="00113419">
              <w:rPr>
                <w:noProof/>
                <w:webHidden/>
              </w:rPr>
              <w:fldChar w:fldCharType="separate"/>
            </w:r>
            <w:r w:rsidR="00687162">
              <w:rPr>
                <w:noProof/>
                <w:webHidden/>
              </w:rPr>
              <w:t>9</w:t>
            </w:r>
            <w:r w:rsidR="00113419">
              <w:rPr>
                <w:noProof/>
                <w:webHidden/>
              </w:rPr>
              <w:fldChar w:fldCharType="end"/>
            </w:r>
          </w:hyperlink>
        </w:p>
        <w:p w14:paraId="6145CA8C" w14:textId="6BAD3C34" w:rsidR="00113419" w:rsidRDefault="005518DB">
          <w:pPr>
            <w:pStyle w:val="TOC3"/>
            <w:tabs>
              <w:tab w:val="right" w:leader="dot" w:pos="10070"/>
            </w:tabs>
            <w:rPr>
              <w:rFonts w:asciiTheme="minorHAnsi" w:eastAsiaTheme="minorEastAsia" w:hAnsiTheme="minorHAnsi" w:cstheme="minorBidi"/>
              <w:noProof/>
              <w:kern w:val="2"/>
              <w:sz w:val="22"/>
              <w:lang w:bidi="ar-SA"/>
              <w14:ligatures w14:val="standardContextual"/>
            </w:rPr>
          </w:pPr>
          <w:hyperlink w:anchor="_Toc188863866" w:history="1">
            <w:r w:rsidR="00113419" w:rsidRPr="00E42B4C">
              <w:rPr>
                <w:rStyle w:val="Hyperlink"/>
                <w:noProof/>
              </w:rPr>
              <w:t>I.1 Application Timeline</w:t>
            </w:r>
            <w:r w:rsidR="00113419">
              <w:rPr>
                <w:noProof/>
                <w:webHidden/>
              </w:rPr>
              <w:tab/>
            </w:r>
            <w:r w:rsidR="00113419">
              <w:rPr>
                <w:noProof/>
                <w:webHidden/>
              </w:rPr>
              <w:fldChar w:fldCharType="begin"/>
            </w:r>
            <w:r w:rsidR="00113419">
              <w:rPr>
                <w:noProof/>
                <w:webHidden/>
              </w:rPr>
              <w:instrText xml:space="preserve"> PAGEREF _Toc188863866 \h </w:instrText>
            </w:r>
            <w:r w:rsidR="00113419">
              <w:rPr>
                <w:noProof/>
                <w:webHidden/>
              </w:rPr>
            </w:r>
            <w:r w:rsidR="00113419">
              <w:rPr>
                <w:noProof/>
                <w:webHidden/>
              </w:rPr>
              <w:fldChar w:fldCharType="separate"/>
            </w:r>
            <w:r w:rsidR="00687162">
              <w:rPr>
                <w:noProof/>
                <w:webHidden/>
              </w:rPr>
              <w:t>9</w:t>
            </w:r>
            <w:r w:rsidR="00113419">
              <w:rPr>
                <w:noProof/>
                <w:webHidden/>
              </w:rPr>
              <w:fldChar w:fldCharType="end"/>
            </w:r>
          </w:hyperlink>
        </w:p>
        <w:p w14:paraId="4D783D84" w14:textId="28BD353F" w:rsidR="00113419" w:rsidRDefault="005518DB">
          <w:pPr>
            <w:pStyle w:val="TOC3"/>
            <w:tabs>
              <w:tab w:val="right" w:leader="dot" w:pos="10070"/>
            </w:tabs>
            <w:rPr>
              <w:rFonts w:asciiTheme="minorHAnsi" w:eastAsiaTheme="minorEastAsia" w:hAnsiTheme="minorHAnsi" w:cstheme="minorBidi"/>
              <w:noProof/>
              <w:kern w:val="2"/>
              <w:sz w:val="22"/>
              <w:lang w:bidi="ar-SA"/>
              <w14:ligatures w14:val="standardContextual"/>
            </w:rPr>
          </w:pPr>
          <w:hyperlink w:anchor="_Toc188863867" w:history="1">
            <w:r w:rsidR="00113419" w:rsidRPr="00E42B4C">
              <w:rPr>
                <w:rStyle w:val="Hyperlink"/>
                <w:noProof/>
              </w:rPr>
              <w:t>I.2 Application and Signature Page</w:t>
            </w:r>
            <w:r w:rsidR="00113419">
              <w:rPr>
                <w:noProof/>
                <w:webHidden/>
              </w:rPr>
              <w:tab/>
            </w:r>
            <w:r w:rsidR="00113419">
              <w:rPr>
                <w:noProof/>
                <w:webHidden/>
              </w:rPr>
              <w:fldChar w:fldCharType="begin"/>
            </w:r>
            <w:r w:rsidR="00113419">
              <w:rPr>
                <w:noProof/>
                <w:webHidden/>
              </w:rPr>
              <w:instrText xml:space="preserve"> PAGEREF _Toc188863867 \h </w:instrText>
            </w:r>
            <w:r w:rsidR="00113419">
              <w:rPr>
                <w:noProof/>
                <w:webHidden/>
              </w:rPr>
            </w:r>
            <w:r w:rsidR="00113419">
              <w:rPr>
                <w:noProof/>
                <w:webHidden/>
              </w:rPr>
              <w:fldChar w:fldCharType="separate"/>
            </w:r>
            <w:r w:rsidR="00687162">
              <w:rPr>
                <w:noProof/>
                <w:webHidden/>
              </w:rPr>
              <w:t>10</w:t>
            </w:r>
            <w:r w:rsidR="00113419">
              <w:rPr>
                <w:noProof/>
                <w:webHidden/>
              </w:rPr>
              <w:fldChar w:fldCharType="end"/>
            </w:r>
          </w:hyperlink>
        </w:p>
        <w:p w14:paraId="18DCD6EF" w14:textId="3339581E" w:rsidR="00113419" w:rsidRDefault="005518DB">
          <w:pPr>
            <w:pStyle w:val="TOC3"/>
            <w:tabs>
              <w:tab w:val="right" w:leader="dot" w:pos="10070"/>
            </w:tabs>
            <w:rPr>
              <w:rFonts w:asciiTheme="minorHAnsi" w:eastAsiaTheme="minorEastAsia" w:hAnsiTheme="minorHAnsi" w:cstheme="minorBidi"/>
              <w:noProof/>
              <w:kern w:val="2"/>
              <w:sz w:val="22"/>
              <w:lang w:bidi="ar-SA"/>
              <w14:ligatures w14:val="standardContextual"/>
            </w:rPr>
          </w:pPr>
          <w:hyperlink w:anchor="_Toc188863868" w:history="1">
            <w:r w:rsidR="00113419" w:rsidRPr="00E42B4C">
              <w:rPr>
                <w:rStyle w:val="Hyperlink"/>
                <w:noProof/>
              </w:rPr>
              <w:t>I.3 One-Page Program Narrative for each activity you are applying for</w:t>
            </w:r>
            <w:r w:rsidR="00113419">
              <w:rPr>
                <w:noProof/>
                <w:webHidden/>
              </w:rPr>
              <w:tab/>
            </w:r>
            <w:r w:rsidR="00113419">
              <w:rPr>
                <w:noProof/>
                <w:webHidden/>
              </w:rPr>
              <w:fldChar w:fldCharType="begin"/>
            </w:r>
            <w:r w:rsidR="00113419">
              <w:rPr>
                <w:noProof/>
                <w:webHidden/>
              </w:rPr>
              <w:instrText xml:space="preserve"> PAGEREF _Toc188863868 \h </w:instrText>
            </w:r>
            <w:r w:rsidR="00113419">
              <w:rPr>
                <w:noProof/>
                <w:webHidden/>
              </w:rPr>
            </w:r>
            <w:r w:rsidR="00113419">
              <w:rPr>
                <w:noProof/>
                <w:webHidden/>
              </w:rPr>
              <w:fldChar w:fldCharType="separate"/>
            </w:r>
            <w:r w:rsidR="00687162">
              <w:rPr>
                <w:noProof/>
                <w:webHidden/>
              </w:rPr>
              <w:t>10</w:t>
            </w:r>
            <w:r w:rsidR="00113419">
              <w:rPr>
                <w:noProof/>
                <w:webHidden/>
              </w:rPr>
              <w:fldChar w:fldCharType="end"/>
            </w:r>
          </w:hyperlink>
        </w:p>
        <w:p w14:paraId="6B2E4A77" w14:textId="4BE1986A" w:rsidR="00113419" w:rsidRDefault="005518DB">
          <w:pPr>
            <w:pStyle w:val="TOC3"/>
            <w:tabs>
              <w:tab w:val="right" w:leader="dot" w:pos="10070"/>
            </w:tabs>
            <w:rPr>
              <w:rFonts w:asciiTheme="minorHAnsi" w:eastAsiaTheme="minorEastAsia" w:hAnsiTheme="minorHAnsi" w:cstheme="minorBidi"/>
              <w:noProof/>
              <w:kern w:val="2"/>
              <w:sz w:val="22"/>
              <w:lang w:bidi="ar-SA"/>
              <w14:ligatures w14:val="standardContextual"/>
            </w:rPr>
          </w:pPr>
          <w:hyperlink w:anchor="_Toc188863869" w:history="1">
            <w:r w:rsidR="00113419" w:rsidRPr="00E42B4C">
              <w:rPr>
                <w:rStyle w:val="Hyperlink"/>
                <w:noProof/>
              </w:rPr>
              <w:t>I.4 Application Workbook</w:t>
            </w:r>
            <w:r w:rsidR="00113419">
              <w:rPr>
                <w:noProof/>
                <w:webHidden/>
              </w:rPr>
              <w:tab/>
            </w:r>
            <w:r w:rsidR="00113419">
              <w:rPr>
                <w:noProof/>
                <w:webHidden/>
              </w:rPr>
              <w:fldChar w:fldCharType="begin"/>
            </w:r>
            <w:r w:rsidR="00113419">
              <w:rPr>
                <w:noProof/>
                <w:webHidden/>
              </w:rPr>
              <w:instrText xml:space="preserve"> PAGEREF _Toc188863869 \h </w:instrText>
            </w:r>
            <w:r w:rsidR="00113419">
              <w:rPr>
                <w:noProof/>
                <w:webHidden/>
              </w:rPr>
            </w:r>
            <w:r w:rsidR="00113419">
              <w:rPr>
                <w:noProof/>
                <w:webHidden/>
              </w:rPr>
              <w:fldChar w:fldCharType="separate"/>
            </w:r>
            <w:r w:rsidR="00687162">
              <w:rPr>
                <w:noProof/>
                <w:webHidden/>
              </w:rPr>
              <w:t>10</w:t>
            </w:r>
            <w:r w:rsidR="00113419">
              <w:rPr>
                <w:noProof/>
                <w:webHidden/>
              </w:rPr>
              <w:fldChar w:fldCharType="end"/>
            </w:r>
          </w:hyperlink>
        </w:p>
        <w:p w14:paraId="69EBA78C" w14:textId="32BD5CD3" w:rsidR="00113419" w:rsidRDefault="005518DB">
          <w:pPr>
            <w:pStyle w:val="TOC3"/>
            <w:tabs>
              <w:tab w:val="right" w:leader="dot" w:pos="10070"/>
            </w:tabs>
            <w:rPr>
              <w:rFonts w:asciiTheme="minorHAnsi" w:eastAsiaTheme="minorEastAsia" w:hAnsiTheme="minorHAnsi" w:cstheme="minorBidi"/>
              <w:noProof/>
              <w:kern w:val="2"/>
              <w:sz w:val="22"/>
              <w:lang w:bidi="ar-SA"/>
              <w14:ligatures w14:val="standardContextual"/>
            </w:rPr>
          </w:pPr>
          <w:hyperlink w:anchor="_Toc188863870" w:history="1">
            <w:r w:rsidR="00113419" w:rsidRPr="00E42B4C">
              <w:rPr>
                <w:rStyle w:val="Hyperlink"/>
                <w:noProof/>
              </w:rPr>
              <w:t>I.5 Application Budget</w:t>
            </w:r>
            <w:r w:rsidR="00113419">
              <w:rPr>
                <w:noProof/>
                <w:webHidden/>
              </w:rPr>
              <w:tab/>
            </w:r>
            <w:r w:rsidR="00113419">
              <w:rPr>
                <w:noProof/>
                <w:webHidden/>
              </w:rPr>
              <w:fldChar w:fldCharType="begin"/>
            </w:r>
            <w:r w:rsidR="00113419">
              <w:rPr>
                <w:noProof/>
                <w:webHidden/>
              </w:rPr>
              <w:instrText xml:space="preserve"> PAGEREF _Toc188863870 \h </w:instrText>
            </w:r>
            <w:r w:rsidR="00113419">
              <w:rPr>
                <w:noProof/>
                <w:webHidden/>
              </w:rPr>
            </w:r>
            <w:r w:rsidR="00113419">
              <w:rPr>
                <w:noProof/>
                <w:webHidden/>
              </w:rPr>
              <w:fldChar w:fldCharType="separate"/>
            </w:r>
            <w:r w:rsidR="00687162">
              <w:rPr>
                <w:noProof/>
                <w:webHidden/>
              </w:rPr>
              <w:t>11</w:t>
            </w:r>
            <w:r w:rsidR="00113419">
              <w:rPr>
                <w:noProof/>
                <w:webHidden/>
              </w:rPr>
              <w:fldChar w:fldCharType="end"/>
            </w:r>
          </w:hyperlink>
        </w:p>
        <w:p w14:paraId="10878A7E" w14:textId="1B0F3574" w:rsidR="00113419" w:rsidRDefault="005518DB">
          <w:pPr>
            <w:pStyle w:val="TOC3"/>
            <w:tabs>
              <w:tab w:val="right" w:leader="dot" w:pos="10070"/>
            </w:tabs>
            <w:rPr>
              <w:rFonts w:asciiTheme="minorHAnsi" w:eastAsiaTheme="minorEastAsia" w:hAnsiTheme="minorHAnsi" w:cstheme="minorBidi"/>
              <w:noProof/>
              <w:kern w:val="2"/>
              <w:sz w:val="22"/>
              <w:lang w:bidi="ar-SA"/>
              <w14:ligatures w14:val="standardContextual"/>
            </w:rPr>
          </w:pPr>
          <w:hyperlink w:anchor="_Toc188863871" w:history="1">
            <w:r w:rsidR="00113419" w:rsidRPr="00E42B4C">
              <w:rPr>
                <w:rStyle w:val="Hyperlink"/>
                <w:noProof/>
              </w:rPr>
              <w:t>I.6 Application Checklist</w:t>
            </w:r>
            <w:r w:rsidR="00113419">
              <w:rPr>
                <w:noProof/>
                <w:webHidden/>
              </w:rPr>
              <w:tab/>
            </w:r>
            <w:r w:rsidR="00113419">
              <w:rPr>
                <w:noProof/>
                <w:webHidden/>
              </w:rPr>
              <w:fldChar w:fldCharType="begin"/>
            </w:r>
            <w:r w:rsidR="00113419">
              <w:rPr>
                <w:noProof/>
                <w:webHidden/>
              </w:rPr>
              <w:instrText xml:space="preserve"> PAGEREF _Toc188863871 \h </w:instrText>
            </w:r>
            <w:r w:rsidR="00113419">
              <w:rPr>
                <w:noProof/>
                <w:webHidden/>
              </w:rPr>
            </w:r>
            <w:r w:rsidR="00113419">
              <w:rPr>
                <w:noProof/>
                <w:webHidden/>
              </w:rPr>
              <w:fldChar w:fldCharType="separate"/>
            </w:r>
            <w:r w:rsidR="00687162">
              <w:rPr>
                <w:noProof/>
                <w:webHidden/>
              </w:rPr>
              <w:t>11</w:t>
            </w:r>
            <w:r w:rsidR="00113419">
              <w:rPr>
                <w:noProof/>
                <w:webHidden/>
              </w:rPr>
              <w:fldChar w:fldCharType="end"/>
            </w:r>
          </w:hyperlink>
        </w:p>
        <w:p w14:paraId="3AD8B514" w14:textId="640332BB" w:rsidR="00113419" w:rsidRDefault="005518DB">
          <w:pPr>
            <w:pStyle w:val="TOC2"/>
            <w:rPr>
              <w:rFonts w:asciiTheme="minorHAnsi" w:eastAsiaTheme="minorEastAsia" w:hAnsiTheme="minorHAnsi" w:cstheme="minorBidi"/>
              <w:noProof/>
              <w:kern w:val="2"/>
              <w:sz w:val="22"/>
              <w:lang w:bidi="ar-SA"/>
              <w14:ligatures w14:val="standardContextual"/>
            </w:rPr>
          </w:pPr>
          <w:hyperlink w:anchor="_Toc188863872" w:history="1">
            <w:r w:rsidR="00113419" w:rsidRPr="00E42B4C">
              <w:rPr>
                <w:rStyle w:val="Hyperlink"/>
                <w:noProof/>
              </w:rPr>
              <w:t>J.</w:t>
            </w:r>
            <w:r w:rsidR="00113419">
              <w:rPr>
                <w:rFonts w:asciiTheme="minorHAnsi" w:eastAsiaTheme="minorEastAsia" w:hAnsiTheme="minorHAnsi" w:cstheme="minorBidi"/>
                <w:noProof/>
                <w:kern w:val="2"/>
                <w:sz w:val="22"/>
                <w:lang w:bidi="ar-SA"/>
                <w14:ligatures w14:val="standardContextual"/>
              </w:rPr>
              <w:tab/>
            </w:r>
            <w:r w:rsidR="00113419" w:rsidRPr="00E42B4C">
              <w:rPr>
                <w:rStyle w:val="Hyperlink"/>
                <w:noProof/>
              </w:rPr>
              <w:t>Submission Instructions</w:t>
            </w:r>
            <w:r w:rsidR="00113419">
              <w:rPr>
                <w:noProof/>
                <w:webHidden/>
              </w:rPr>
              <w:tab/>
            </w:r>
            <w:r w:rsidR="00113419">
              <w:rPr>
                <w:noProof/>
                <w:webHidden/>
              </w:rPr>
              <w:fldChar w:fldCharType="begin"/>
            </w:r>
            <w:r w:rsidR="00113419">
              <w:rPr>
                <w:noProof/>
                <w:webHidden/>
              </w:rPr>
              <w:instrText xml:space="preserve"> PAGEREF _Toc188863872 \h </w:instrText>
            </w:r>
            <w:r w:rsidR="00113419">
              <w:rPr>
                <w:noProof/>
                <w:webHidden/>
              </w:rPr>
            </w:r>
            <w:r w:rsidR="00113419">
              <w:rPr>
                <w:noProof/>
                <w:webHidden/>
              </w:rPr>
              <w:fldChar w:fldCharType="separate"/>
            </w:r>
            <w:r w:rsidR="00687162">
              <w:rPr>
                <w:noProof/>
                <w:webHidden/>
              </w:rPr>
              <w:t>12</w:t>
            </w:r>
            <w:r w:rsidR="00113419">
              <w:rPr>
                <w:noProof/>
                <w:webHidden/>
              </w:rPr>
              <w:fldChar w:fldCharType="end"/>
            </w:r>
          </w:hyperlink>
        </w:p>
        <w:p w14:paraId="26A787AD" w14:textId="17F34922" w:rsidR="00113419" w:rsidRDefault="005518DB">
          <w:pPr>
            <w:pStyle w:val="TOC2"/>
            <w:rPr>
              <w:rFonts w:asciiTheme="minorHAnsi" w:eastAsiaTheme="minorEastAsia" w:hAnsiTheme="minorHAnsi" w:cstheme="minorBidi"/>
              <w:noProof/>
              <w:kern w:val="2"/>
              <w:sz w:val="22"/>
              <w:lang w:bidi="ar-SA"/>
              <w14:ligatures w14:val="standardContextual"/>
            </w:rPr>
          </w:pPr>
          <w:hyperlink w:anchor="_Toc188863873" w:history="1">
            <w:r w:rsidR="00113419" w:rsidRPr="00E42B4C">
              <w:rPr>
                <w:rStyle w:val="Hyperlink"/>
                <w:noProof/>
              </w:rPr>
              <w:t>K.</w:t>
            </w:r>
            <w:r w:rsidR="00113419">
              <w:rPr>
                <w:rFonts w:asciiTheme="minorHAnsi" w:eastAsiaTheme="minorEastAsia" w:hAnsiTheme="minorHAnsi" w:cstheme="minorBidi"/>
                <w:noProof/>
                <w:kern w:val="2"/>
                <w:sz w:val="22"/>
                <w:lang w:bidi="ar-SA"/>
                <w14:ligatures w14:val="standardContextual"/>
              </w:rPr>
              <w:tab/>
            </w:r>
            <w:r w:rsidR="00113419" w:rsidRPr="00E42B4C">
              <w:rPr>
                <w:rStyle w:val="Hyperlink"/>
                <w:noProof/>
              </w:rPr>
              <w:t>Due Diligence Requirements</w:t>
            </w:r>
            <w:r w:rsidR="00113419">
              <w:rPr>
                <w:noProof/>
                <w:webHidden/>
              </w:rPr>
              <w:tab/>
            </w:r>
            <w:r w:rsidR="00113419">
              <w:rPr>
                <w:noProof/>
                <w:webHidden/>
              </w:rPr>
              <w:fldChar w:fldCharType="begin"/>
            </w:r>
            <w:r w:rsidR="00113419">
              <w:rPr>
                <w:noProof/>
                <w:webHidden/>
              </w:rPr>
              <w:instrText xml:space="preserve"> PAGEREF _Toc188863873 \h </w:instrText>
            </w:r>
            <w:r w:rsidR="00113419">
              <w:rPr>
                <w:noProof/>
                <w:webHidden/>
              </w:rPr>
            </w:r>
            <w:r w:rsidR="00113419">
              <w:rPr>
                <w:noProof/>
                <w:webHidden/>
              </w:rPr>
              <w:fldChar w:fldCharType="separate"/>
            </w:r>
            <w:r w:rsidR="00687162">
              <w:rPr>
                <w:noProof/>
                <w:webHidden/>
              </w:rPr>
              <w:t>12</w:t>
            </w:r>
            <w:r w:rsidR="00113419">
              <w:rPr>
                <w:noProof/>
                <w:webHidden/>
              </w:rPr>
              <w:fldChar w:fldCharType="end"/>
            </w:r>
          </w:hyperlink>
        </w:p>
        <w:p w14:paraId="040CAF4C" w14:textId="4389A674" w:rsidR="00113419" w:rsidRDefault="005518DB">
          <w:pPr>
            <w:pStyle w:val="TOC2"/>
            <w:rPr>
              <w:rFonts w:asciiTheme="minorHAnsi" w:eastAsiaTheme="minorEastAsia" w:hAnsiTheme="minorHAnsi" w:cstheme="minorBidi"/>
              <w:noProof/>
              <w:kern w:val="2"/>
              <w:sz w:val="22"/>
              <w:lang w:bidi="ar-SA"/>
              <w14:ligatures w14:val="standardContextual"/>
            </w:rPr>
          </w:pPr>
          <w:hyperlink w:anchor="_Toc188863874" w:history="1">
            <w:r w:rsidR="00113419" w:rsidRPr="00E42B4C">
              <w:rPr>
                <w:rStyle w:val="Hyperlink"/>
                <w:noProof/>
              </w:rPr>
              <w:t xml:space="preserve">L. </w:t>
            </w:r>
            <w:r w:rsidR="00113419">
              <w:rPr>
                <w:rFonts w:asciiTheme="minorHAnsi" w:eastAsiaTheme="minorEastAsia" w:hAnsiTheme="minorHAnsi" w:cstheme="minorBidi"/>
                <w:noProof/>
                <w:kern w:val="2"/>
                <w:sz w:val="22"/>
                <w:lang w:bidi="ar-SA"/>
                <w14:ligatures w14:val="standardContextual"/>
              </w:rPr>
              <w:tab/>
            </w:r>
            <w:r w:rsidR="00113419" w:rsidRPr="00E42B4C">
              <w:rPr>
                <w:rStyle w:val="Hyperlink"/>
                <w:noProof/>
              </w:rPr>
              <w:t>Contractual Requirements</w:t>
            </w:r>
            <w:r w:rsidR="00113419">
              <w:rPr>
                <w:noProof/>
                <w:webHidden/>
              </w:rPr>
              <w:tab/>
            </w:r>
            <w:r w:rsidR="00113419">
              <w:rPr>
                <w:noProof/>
                <w:webHidden/>
              </w:rPr>
              <w:fldChar w:fldCharType="begin"/>
            </w:r>
            <w:r w:rsidR="00113419">
              <w:rPr>
                <w:noProof/>
                <w:webHidden/>
              </w:rPr>
              <w:instrText xml:space="preserve"> PAGEREF _Toc188863874 \h </w:instrText>
            </w:r>
            <w:r w:rsidR="00113419">
              <w:rPr>
                <w:noProof/>
                <w:webHidden/>
              </w:rPr>
            </w:r>
            <w:r w:rsidR="00113419">
              <w:rPr>
                <w:noProof/>
                <w:webHidden/>
              </w:rPr>
              <w:fldChar w:fldCharType="separate"/>
            </w:r>
            <w:r w:rsidR="00687162">
              <w:rPr>
                <w:noProof/>
                <w:webHidden/>
              </w:rPr>
              <w:t>13</w:t>
            </w:r>
            <w:r w:rsidR="00113419">
              <w:rPr>
                <w:noProof/>
                <w:webHidden/>
              </w:rPr>
              <w:fldChar w:fldCharType="end"/>
            </w:r>
          </w:hyperlink>
        </w:p>
        <w:p w14:paraId="75ADB9F8" w14:textId="4B976383" w:rsidR="00113419" w:rsidRDefault="005518DB">
          <w:pPr>
            <w:pStyle w:val="TOC3"/>
            <w:tabs>
              <w:tab w:val="right" w:leader="dot" w:pos="10070"/>
            </w:tabs>
            <w:rPr>
              <w:rFonts w:asciiTheme="minorHAnsi" w:eastAsiaTheme="minorEastAsia" w:hAnsiTheme="minorHAnsi" w:cstheme="minorBidi"/>
              <w:noProof/>
              <w:kern w:val="2"/>
              <w:sz w:val="22"/>
              <w:lang w:bidi="ar-SA"/>
              <w14:ligatures w14:val="standardContextual"/>
            </w:rPr>
          </w:pPr>
          <w:hyperlink w:anchor="_Toc188863875" w:history="1">
            <w:r w:rsidR="00113419" w:rsidRPr="00E42B4C">
              <w:rPr>
                <w:rStyle w:val="Hyperlink"/>
                <w:noProof/>
              </w:rPr>
              <w:t>L.1 Reporting Requirements</w:t>
            </w:r>
            <w:r w:rsidR="00113419">
              <w:rPr>
                <w:noProof/>
                <w:webHidden/>
              </w:rPr>
              <w:tab/>
            </w:r>
            <w:r w:rsidR="00113419">
              <w:rPr>
                <w:noProof/>
                <w:webHidden/>
              </w:rPr>
              <w:fldChar w:fldCharType="begin"/>
            </w:r>
            <w:r w:rsidR="00113419">
              <w:rPr>
                <w:noProof/>
                <w:webHidden/>
              </w:rPr>
              <w:instrText xml:space="preserve"> PAGEREF _Toc188863875 \h </w:instrText>
            </w:r>
            <w:r w:rsidR="00113419">
              <w:rPr>
                <w:noProof/>
                <w:webHidden/>
              </w:rPr>
            </w:r>
            <w:r w:rsidR="00113419">
              <w:rPr>
                <w:noProof/>
                <w:webHidden/>
              </w:rPr>
              <w:fldChar w:fldCharType="separate"/>
            </w:r>
            <w:r w:rsidR="00687162">
              <w:rPr>
                <w:noProof/>
                <w:webHidden/>
              </w:rPr>
              <w:t>14</w:t>
            </w:r>
            <w:r w:rsidR="00113419">
              <w:rPr>
                <w:noProof/>
                <w:webHidden/>
              </w:rPr>
              <w:fldChar w:fldCharType="end"/>
            </w:r>
          </w:hyperlink>
        </w:p>
        <w:p w14:paraId="24C44440" w14:textId="30665049" w:rsidR="00113419" w:rsidRDefault="005518DB">
          <w:pPr>
            <w:pStyle w:val="TOC3"/>
            <w:tabs>
              <w:tab w:val="right" w:leader="dot" w:pos="10070"/>
            </w:tabs>
            <w:rPr>
              <w:rFonts w:asciiTheme="minorHAnsi" w:eastAsiaTheme="minorEastAsia" w:hAnsiTheme="minorHAnsi" w:cstheme="minorBidi"/>
              <w:noProof/>
              <w:kern w:val="2"/>
              <w:sz w:val="22"/>
              <w:lang w:bidi="ar-SA"/>
              <w14:ligatures w14:val="standardContextual"/>
            </w:rPr>
          </w:pPr>
          <w:hyperlink w:anchor="_Toc188863876" w:history="1">
            <w:r w:rsidR="00113419" w:rsidRPr="00E42B4C">
              <w:rPr>
                <w:rStyle w:val="Hyperlink"/>
                <w:noProof/>
              </w:rPr>
              <w:t>L.2 Funds Disbursement</w:t>
            </w:r>
            <w:r w:rsidR="00113419">
              <w:rPr>
                <w:noProof/>
                <w:webHidden/>
              </w:rPr>
              <w:tab/>
            </w:r>
            <w:r w:rsidR="00113419">
              <w:rPr>
                <w:noProof/>
                <w:webHidden/>
              </w:rPr>
              <w:fldChar w:fldCharType="begin"/>
            </w:r>
            <w:r w:rsidR="00113419">
              <w:rPr>
                <w:noProof/>
                <w:webHidden/>
              </w:rPr>
              <w:instrText xml:space="preserve"> PAGEREF _Toc188863876 \h </w:instrText>
            </w:r>
            <w:r w:rsidR="00113419">
              <w:rPr>
                <w:noProof/>
                <w:webHidden/>
              </w:rPr>
            </w:r>
            <w:r w:rsidR="00113419">
              <w:rPr>
                <w:noProof/>
                <w:webHidden/>
              </w:rPr>
              <w:fldChar w:fldCharType="separate"/>
            </w:r>
            <w:r w:rsidR="00687162">
              <w:rPr>
                <w:noProof/>
                <w:webHidden/>
              </w:rPr>
              <w:t>14</w:t>
            </w:r>
            <w:r w:rsidR="00113419">
              <w:rPr>
                <w:noProof/>
                <w:webHidden/>
              </w:rPr>
              <w:fldChar w:fldCharType="end"/>
            </w:r>
          </w:hyperlink>
        </w:p>
        <w:p w14:paraId="187B071F" w14:textId="19D73E21" w:rsidR="00113419" w:rsidRDefault="005518DB">
          <w:pPr>
            <w:pStyle w:val="TOC3"/>
            <w:tabs>
              <w:tab w:val="right" w:leader="dot" w:pos="10070"/>
            </w:tabs>
            <w:rPr>
              <w:rFonts w:asciiTheme="minorHAnsi" w:eastAsiaTheme="minorEastAsia" w:hAnsiTheme="minorHAnsi" w:cstheme="minorBidi"/>
              <w:noProof/>
              <w:kern w:val="2"/>
              <w:sz w:val="22"/>
              <w:lang w:bidi="ar-SA"/>
              <w14:ligatures w14:val="standardContextual"/>
            </w:rPr>
          </w:pPr>
          <w:hyperlink w:anchor="_Toc188863877" w:history="1">
            <w:r w:rsidR="00113419" w:rsidRPr="00E42B4C">
              <w:rPr>
                <w:rStyle w:val="Hyperlink"/>
                <w:noProof/>
              </w:rPr>
              <w:t>L.3 Monitoring and Audits</w:t>
            </w:r>
            <w:r w:rsidR="00113419">
              <w:rPr>
                <w:noProof/>
                <w:webHidden/>
              </w:rPr>
              <w:tab/>
            </w:r>
            <w:r w:rsidR="00113419">
              <w:rPr>
                <w:noProof/>
                <w:webHidden/>
              </w:rPr>
              <w:fldChar w:fldCharType="begin"/>
            </w:r>
            <w:r w:rsidR="00113419">
              <w:rPr>
                <w:noProof/>
                <w:webHidden/>
              </w:rPr>
              <w:instrText xml:space="preserve"> PAGEREF _Toc188863877 \h </w:instrText>
            </w:r>
            <w:r w:rsidR="00113419">
              <w:rPr>
                <w:noProof/>
                <w:webHidden/>
              </w:rPr>
            </w:r>
            <w:r w:rsidR="00113419">
              <w:rPr>
                <w:noProof/>
                <w:webHidden/>
              </w:rPr>
              <w:fldChar w:fldCharType="separate"/>
            </w:r>
            <w:r w:rsidR="00687162">
              <w:rPr>
                <w:noProof/>
                <w:webHidden/>
              </w:rPr>
              <w:t>14</w:t>
            </w:r>
            <w:r w:rsidR="00113419">
              <w:rPr>
                <w:noProof/>
                <w:webHidden/>
              </w:rPr>
              <w:fldChar w:fldCharType="end"/>
            </w:r>
          </w:hyperlink>
        </w:p>
        <w:p w14:paraId="42CCE8C2" w14:textId="28503683" w:rsidR="00113419" w:rsidRDefault="005518DB">
          <w:pPr>
            <w:pStyle w:val="TOC2"/>
            <w:rPr>
              <w:rFonts w:asciiTheme="minorHAnsi" w:eastAsiaTheme="minorEastAsia" w:hAnsiTheme="minorHAnsi" w:cstheme="minorBidi"/>
              <w:noProof/>
              <w:kern w:val="2"/>
              <w:sz w:val="22"/>
              <w:lang w:bidi="ar-SA"/>
              <w14:ligatures w14:val="standardContextual"/>
            </w:rPr>
          </w:pPr>
          <w:hyperlink w:anchor="_Toc188863878" w:history="1">
            <w:r w:rsidR="00113419" w:rsidRPr="00E42B4C">
              <w:rPr>
                <w:rStyle w:val="Hyperlink"/>
                <w:noProof/>
              </w:rPr>
              <w:t>Questions</w:t>
            </w:r>
            <w:r w:rsidR="00113419">
              <w:rPr>
                <w:noProof/>
                <w:webHidden/>
              </w:rPr>
              <w:tab/>
            </w:r>
            <w:r w:rsidR="00113419">
              <w:rPr>
                <w:noProof/>
                <w:webHidden/>
              </w:rPr>
              <w:fldChar w:fldCharType="begin"/>
            </w:r>
            <w:r w:rsidR="00113419">
              <w:rPr>
                <w:noProof/>
                <w:webHidden/>
              </w:rPr>
              <w:instrText xml:space="preserve"> PAGEREF _Toc188863878 \h </w:instrText>
            </w:r>
            <w:r w:rsidR="00113419">
              <w:rPr>
                <w:noProof/>
                <w:webHidden/>
              </w:rPr>
            </w:r>
            <w:r w:rsidR="00113419">
              <w:rPr>
                <w:noProof/>
                <w:webHidden/>
              </w:rPr>
              <w:fldChar w:fldCharType="separate"/>
            </w:r>
            <w:r w:rsidR="00687162">
              <w:rPr>
                <w:noProof/>
                <w:webHidden/>
              </w:rPr>
              <w:t>14</w:t>
            </w:r>
            <w:r w:rsidR="00113419">
              <w:rPr>
                <w:noProof/>
                <w:webHidden/>
              </w:rPr>
              <w:fldChar w:fldCharType="end"/>
            </w:r>
          </w:hyperlink>
        </w:p>
        <w:p w14:paraId="550A330B" w14:textId="5BEEB4BF" w:rsidR="00AF3185" w:rsidRDefault="0036265D" w:rsidP="00A1618A">
          <w:pPr>
            <w:sectPr w:rsidR="00AF3185" w:rsidSect="003C5530">
              <w:footerReference w:type="default" r:id="rId11"/>
              <w:footerReference w:type="first" r:id="rId12"/>
              <w:pgSz w:w="12240" w:h="15840" w:code="1"/>
              <w:pgMar w:top="1728" w:right="1080" w:bottom="1440" w:left="1080" w:header="0" w:footer="504" w:gutter="0"/>
              <w:pgNumType w:start="1"/>
              <w:cols w:space="720"/>
              <w:docGrid w:linePitch="326"/>
            </w:sectPr>
          </w:pPr>
          <w:r>
            <w:rPr>
              <w:b/>
              <w:bCs/>
              <w:noProof/>
            </w:rPr>
            <w:fldChar w:fldCharType="end"/>
          </w:r>
        </w:p>
      </w:sdtContent>
    </w:sdt>
    <w:p w14:paraId="5A4E5B29" w14:textId="735AF63D" w:rsidR="00170A3A" w:rsidRDefault="00170A3A" w:rsidP="00541F2E">
      <w:pPr>
        <w:pStyle w:val="Heading2"/>
        <w:numPr>
          <w:ilvl w:val="0"/>
          <w:numId w:val="14"/>
        </w:numPr>
      </w:pPr>
      <w:bookmarkStart w:id="8" w:name="_Toc162441870"/>
      <w:bookmarkStart w:id="9" w:name="_Toc188863853"/>
      <w:bookmarkEnd w:id="7"/>
      <w:bookmarkEnd w:id="6"/>
      <w:r>
        <w:lastRenderedPageBreak/>
        <w:t>Overview</w:t>
      </w:r>
      <w:bookmarkEnd w:id="8"/>
      <w:bookmarkEnd w:id="9"/>
    </w:p>
    <w:p w14:paraId="06866173" w14:textId="53D43E2A" w:rsidR="003477D0" w:rsidRPr="00C84C56" w:rsidRDefault="00BE4816" w:rsidP="00180D61">
      <w:r>
        <w:t>The Homeownership Investment Grants</w:t>
      </w:r>
      <w:r w:rsidR="00716D72">
        <w:t xml:space="preserve"> (HIG)</w:t>
      </w:r>
      <w:r>
        <w:t xml:space="preserve"> Program was created in 2023 by a one-time state appropriation. This appropriation is</w:t>
      </w:r>
      <w:r w:rsidR="00671F87" w:rsidRPr="00C84C56">
        <w:t xml:space="preserve"> intended to provide funding to Minnesota-based, nonprofit, tax exempt</w:t>
      </w:r>
      <w:r w:rsidR="00904056" w:rsidRPr="00C84C56">
        <w:t xml:space="preserve">, </w:t>
      </w:r>
      <w:r w:rsidR="00695312">
        <w:t>US Department of Treasury</w:t>
      </w:r>
      <w:r w:rsidR="00E304B4">
        <w:t>-</w:t>
      </w:r>
      <w:r w:rsidR="00695312">
        <w:t xml:space="preserve">certified </w:t>
      </w:r>
      <w:r w:rsidR="00D9077F" w:rsidRPr="00C84C56">
        <w:t>Community Development Financial Institutions (CDFIs)</w:t>
      </w:r>
      <w:r w:rsidR="00695312">
        <w:t>.</w:t>
      </w:r>
    </w:p>
    <w:p w14:paraId="1C1BB857" w14:textId="1061A508" w:rsidR="008F7D77" w:rsidRPr="00C84C56" w:rsidRDefault="008F7D77" w:rsidP="008F7D77">
      <w:pPr>
        <w:rPr>
          <w:szCs w:val="24"/>
        </w:rPr>
      </w:pPr>
      <w:r w:rsidRPr="00C84C56">
        <w:rPr>
          <w:szCs w:val="24"/>
        </w:rPr>
        <w:t xml:space="preserve">The </w:t>
      </w:r>
      <w:r w:rsidR="00C84C56" w:rsidRPr="00C84C56">
        <w:rPr>
          <w:szCs w:val="24"/>
        </w:rPr>
        <w:t>Homeownership Investment</w:t>
      </w:r>
      <w:r w:rsidR="006D39C4" w:rsidRPr="00C84C56">
        <w:rPr>
          <w:szCs w:val="24"/>
        </w:rPr>
        <w:t xml:space="preserve"> </w:t>
      </w:r>
      <w:r w:rsidRPr="00C84C56">
        <w:rPr>
          <w:szCs w:val="24"/>
        </w:rPr>
        <w:t xml:space="preserve">Grants Program was established in </w:t>
      </w:r>
      <w:hyperlink r:id="rId13" w:history="1">
        <w:r w:rsidRPr="005D68BD">
          <w:t>Minnesota Laws 2023, chapter 37, article 1, section 2, subdivision 31</w:t>
        </w:r>
      </w:hyperlink>
      <w:r w:rsidRPr="00C84C56">
        <w:rPr>
          <w:szCs w:val="24"/>
        </w:rPr>
        <w:t xml:space="preserve">, with </w:t>
      </w:r>
      <w:r w:rsidR="00E83C6F">
        <w:rPr>
          <w:szCs w:val="24"/>
        </w:rPr>
        <w:t>program requirements</w:t>
      </w:r>
      <w:r w:rsidRPr="00C84C56">
        <w:rPr>
          <w:szCs w:val="24"/>
        </w:rPr>
        <w:t xml:space="preserve"> in </w:t>
      </w:r>
      <w:hyperlink r:id="rId14" w:history="1">
        <w:r w:rsidRPr="005D68BD">
          <w:t xml:space="preserve">Minnesota Laws 2023, </w:t>
        </w:r>
        <w:r w:rsidR="00E304B4">
          <w:t>c</w:t>
        </w:r>
        <w:r w:rsidRPr="005D68BD">
          <w:t>hapter 37, article 2, section 11.</w:t>
        </w:r>
      </w:hyperlink>
    </w:p>
    <w:p w14:paraId="0E48C161" w14:textId="14DDBC89" w:rsidR="00131E44" w:rsidRPr="00905E8F" w:rsidRDefault="00131E44" w:rsidP="008F7D77">
      <w:pPr>
        <w:rPr>
          <w:szCs w:val="24"/>
        </w:rPr>
      </w:pPr>
      <w:r w:rsidRPr="00905E8F">
        <w:rPr>
          <w:szCs w:val="24"/>
        </w:rPr>
        <w:t xml:space="preserve">The goals of </w:t>
      </w:r>
      <w:r w:rsidR="00716D72" w:rsidRPr="00905E8F">
        <w:rPr>
          <w:szCs w:val="24"/>
        </w:rPr>
        <w:t>th</w:t>
      </w:r>
      <w:r w:rsidR="00716D72">
        <w:rPr>
          <w:szCs w:val="24"/>
        </w:rPr>
        <w:t>e HIG</w:t>
      </w:r>
      <w:r w:rsidR="00716D72" w:rsidRPr="00905E8F">
        <w:rPr>
          <w:szCs w:val="24"/>
        </w:rPr>
        <w:t xml:space="preserve"> </w:t>
      </w:r>
      <w:r w:rsidR="00716D72">
        <w:rPr>
          <w:szCs w:val="24"/>
        </w:rPr>
        <w:t>P</w:t>
      </w:r>
      <w:r w:rsidRPr="00905E8F">
        <w:rPr>
          <w:szCs w:val="24"/>
        </w:rPr>
        <w:t>rogram are:</w:t>
      </w:r>
    </w:p>
    <w:tbl>
      <w:tblPr>
        <w:tblW w:w="0" w:type="auto"/>
        <w:tblCellMar>
          <w:left w:w="0" w:type="dxa"/>
          <w:right w:w="0" w:type="dxa"/>
        </w:tblCellMar>
        <w:tblLook w:val="04A0" w:firstRow="1" w:lastRow="0" w:firstColumn="1" w:lastColumn="0" w:noHBand="0" w:noVBand="1"/>
      </w:tblPr>
      <w:tblGrid>
        <w:gridCol w:w="9360"/>
      </w:tblGrid>
      <w:tr w:rsidR="00695312" w:rsidRPr="00695312" w14:paraId="12D9169D" w14:textId="77777777" w:rsidTr="00131E44">
        <w:tc>
          <w:tcPr>
            <w:tcW w:w="10914" w:type="dxa"/>
            <w:tcMar>
              <w:top w:w="80" w:type="dxa"/>
              <w:left w:w="80" w:type="dxa"/>
              <w:bottom w:w="80" w:type="dxa"/>
              <w:right w:w="80" w:type="dxa"/>
            </w:tcMar>
            <w:hideMark/>
          </w:tcPr>
          <w:p w14:paraId="54210C13" w14:textId="46085692" w:rsidR="00131E44" w:rsidRPr="00905E8F" w:rsidRDefault="00131E44" w:rsidP="009B4467">
            <w:pPr>
              <w:numPr>
                <w:ilvl w:val="0"/>
                <w:numId w:val="8"/>
              </w:numPr>
              <w:spacing w:before="0" w:after="0" w:line="300" w:lineRule="atLeast"/>
              <w:textAlignment w:val="center"/>
              <w:rPr>
                <w:szCs w:val="24"/>
              </w:rPr>
            </w:pPr>
            <w:r w:rsidRPr="00905E8F">
              <w:rPr>
                <w:szCs w:val="24"/>
              </w:rPr>
              <w:t xml:space="preserve">To support </w:t>
            </w:r>
            <w:r w:rsidR="00E304B4">
              <w:rPr>
                <w:szCs w:val="24"/>
              </w:rPr>
              <w:t xml:space="preserve">the </w:t>
            </w:r>
            <w:r w:rsidR="00385FE3">
              <w:rPr>
                <w:szCs w:val="24"/>
              </w:rPr>
              <w:t xml:space="preserve">critical and necessary work </w:t>
            </w:r>
            <w:r w:rsidR="00E304B4">
              <w:rPr>
                <w:szCs w:val="24"/>
              </w:rPr>
              <w:t xml:space="preserve">of CDFIs </w:t>
            </w:r>
            <w:r w:rsidR="00385FE3">
              <w:rPr>
                <w:szCs w:val="24"/>
              </w:rPr>
              <w:t xml:space="preserve">in </w:t>
            </w:r>
            <w:r w:rsidRPr="00905E8F">
              <w:rPr>
                <w:szCs w:val="24"/>
              </w:rPr>
              <w:t>creating and preserving</w:t>
            </w:r>
            <w:r w:rsidR="00E83C6F">
              <w:rPr>
                <w:szCs w:val="24"/>
              </w:rPr>
              <w:t xml:space="preserve"> affordable</w:t>
            </w:r>
            <w:r w:rsidRPr="00905E8F">
              <w:rPr>
                <w:szCs w:val="24"/>
              </w:rPr>
              <w:t xml:space="preserve"> homeownership opportunities across the state</w:t>
            </w:r>
            <w:r w:rsidR="006B2299">
              <w:rPr>
                <w:szCs w:val="24"/>
              </w:rPr>
              <w:t>.</w:t>
            </w:r>
          </w:p>
        </w:tc>
      </w:tr>
      <w:tr w:rsidR="00695312" w:rsidRPr="00695312" w14:paraId="52C6D493" w14:textId="77777777" w:rsidTr="00131E44">
        <w:tc>
          <w:tcPr>
            <w:tcW w:w="10914" w:type="dxa"/>
            <w:tcMar>
              <w:top w:w="80" w:type="dxa"/>
              <w:left w:w="80" w:type="dxa"/>
              <w:bottom w:w="80" w:type="dxa"/>
              <w:right w:w="80" w:type="dxa"/>
            </w:tcMar>
            <w:hideMark/>
          </w:tcPr>
          <w:p w14:paraId="2D45331E" w14:textId="49955056" w:rsidR="00131E44" w:rsidRPr="00905E8F" w:rsidRDefault="00131E44" w:rsidP="009B4467">
            <w:pPr>
              <w:numPr>
                <w:ilvl w:val="0"/>
                <w:numId w:val="8"/>
              </w:numPr>
              <w:spacing w:before="0" w:after="0" w:line="300" w:lineRule="atLeast"/>
              <w:textAlignment w:val="center"/>
              <w:rPr>
                <w:szCs w:val="24"/>
              </w:rPr>
            </w:pPr>
            <w:r w:rsidRPr="00905E8F">
              <w:rPr>
                <w:szCs w:val="24"/>
              </w:rPr>
              <w:t>To accelerate production of affordable homeownership now and over the long</w:t>
            </w:r>
            <w:r w:rsidR="00E304B4">
              <w:rPr>
                <w:szCs w:val="24"/>
              </w:rPr>
              <w:t xml:space="preserve"> </w:t>
            </w:r>
            <w:r w:rsidRPr="00905E8F">
              <w:rPr>
                <w:szCs w:val="24"/>
              </w:rPr>
              <w:t>term</w:t>
            </w:r>
            <w:r w:rsidR="006B2299">
              <w:rPr>
                <w:szCs w:val="24"/>
              </w:rPr>
              <w:t>.</w:t>
            </w:r>
          </w:p>
        </w:tc>
      </w:tr>
      <w:tr w:rsidR="00695312" w:rsidRPr="00695312" w14:paraId="17301F90" w14:textId="77777777" w:rsidTr="006B2299">
        <w:tc>
          <w:tcPr>
            <w:tcW w:w="10914" w:type="dxa"/>
            <w:tcMar>
              <w:top w:w="80" w:type="dxa"/>
              <w:left w:w="80" w:type="dxa"/>
              <w:bottom w:w="80" w:type="dxa"/>
              <w:right w:w="80" w:type="dxa"/>
            </w:tcMar>
            <w:hideMark/>
          </w:tcPr>
          <w:p w14:paraId="30D5DA9A" w14:textId="65A5FF85" w:rsidR="00131E44" w:rsidRPr="009B4467" w:rsidRDefault="009D0015" w:rsidP="009B4467">
            <w:pPr>
              <w:numPr>
                <w:ilvl w:val="0"/>
                <w:numId w:val="8"/>
              </w:numPr>
              <w:spacing w:before="0" w:after="0" w:line="300" w:lineRule="atLeast"/>
              <w:textAlignment w:val="center"/>
              <w:rPr>
                <w:szCs w:val="24"/>
              </w:rPr>
            </w:pPr>
            <w:r w:rsidRPr="002620BC">
              <w:rPr>
                <w:szCs w:val="24"/>
              </w:rPr>
              <w:t xml:space="preserve">To leverage existing state </w:t>
            </w:r>
            <w:r w:rsidR="00E304B4">
              <w:rPr>
                <w:szCs w:val="24"/>
              </w:rPr>
              <w:t>and</w:t>
            </w:r>
            <w:r w:rsidRPr="002620BC">
              <w:rPr>
                <w:szCs w:val="24"/>
              </w:rPr>
              <w:t xml:space="preserve"> federal programs and private sector investments that increase ownership opportunities.</w:t>
            </w:r>
          </w:p>
        </w:tc>
      </w:tr>
      <w:tr w:rsidR="00695312" w:rsidRPr="00695312" w14:paraId="6B38A904" w14:textId="77777777" w:rsidTr="00131E44">
        <w:tc>
          <w:tcPr>
            <w:tcW w:w="10914" w:type="dxa"/>
            <w:tcMar>
              <w:top w:w="80" w:type="dxa"/>
              <w:left w:w="80" w:type="dxa"/>
              <w:bottom w:w="80" w:type="dxa"/>
              <w:right w:w="80" w:type="dxa"/>
            </w:tcMar>
            <w:hideMark/>
          </w:tcPr>
          <w:p w14:paraId="2C379415" w14:textId="5A96209E" w:rsidR="00131E44" w:rsidRPr="00905E8F" w:rsidRDefault="009D0015" w:rsidP="009B4467">
            <w:pPr>
              <w:numPr>
                <w:ilvl w:val="0"/>
                <w:numId w:val="8"/>
              </w:numPr>
              <w:spacing w:before="0" w:after="0" w:line="300" w:lineRule="atLeast"/>
              <w:textAlignment w:val="center"/>
              <w:rPr>
                <w:szCs w:val="24"/>
              </w:rPr>
            </w:pPr>
            <w:r w:rsidRPr="00180D61">
              <w:rPr>
                <w:szCs w:val="24"/>
              </w:rPr>
              <w:t>To address gaps in existing homeownership financing resources to meet housing needs, on the terms needed.</w:t>
            </w:r>
          </w:p>
        </w:tc>
      </w:tr>
    </w:tbl>
    <w:p w14:paraId="4FB1C77E" w14:textId="73AD49B3" w:rsidR="0036265D" w:rsidRPr="00E570C1" w:rsidRDefault="00170A3A" w:rsidP="00541F2E">
      <w:pPr>
        <w:pStyle w:val="Heading2"/>
        <w:numPr>
          <w:ilvl w:val="0"/>
          <w:numId w:val="14"/>
        </w:numPr>
      </w:pPr>
      <w:bookmarkStart w:id="10" w:name="_Toc162441871"/>
      <w:bookmarkStart w:id="11" w:name="_Toc188863854"/>
      <w:r>
        <w:t>Available Funding</w:t>
      </w:r>
      <w:bookmarkEnd w:id="10"/>
      <w:bookmarkEnd w:id="11"/>
    </w:p>
    <w:p w14:paraId="3485E405" w14:textId="0D04DA3C" w:rsidR="00E93794" w:rsidRPr="00C84C56" w:rsidRDefault="00E93794" w:rsidP="002F7C18">
      <w:pPr>
        <w:spacing w:after="0" w:line="240" w:lineRule="auto"/>
        <w:rPr>
          <w:szCs w:val="24"/>
        </w:rPr>
      </w:pPr>
      <w:r w:rsidRPr="00695312">
        <w:rPr>
          <w:szCs w:val="24"/>
        </w:rPr>
        <w:t>Up to $</w:t>
      </w:r>
      <w:r w:rsidR="006E370E">
        <w:rPr>
          <w:szCs w:val="24"/>
        </w:rPr>
        <w:t>37</w:t>
      </w:r>
      <w:r w:rsidR="000100EA">
        <w:rPr>
          <w:szCs w:val="24"/>
        </w:rPr>
        <w:t xml:space="preserve"> million</w:t>
      </w:r>
      <w:r w:rsidR="00004081">
        <w:rPr>
          <w:szCs w:val="24"/>
        </w:rPr>
        <w:t xml:space="preserve"> </w:t>
      </w:r>
      <w:r w:rsidR="00716D72">
        <w:rPr>
          <w:szCs w:val="24"/>
        </w:rPr>
        <w:t xml:space="preserve">is available </w:t>
      </w:r>
      <w:r w:rsidR="00004081">
        <w:rPr>
          <w:szCs w:val="24"/>
        </w:rPr>
        <w:t>i</w:t>
      </w:r>
      <w:r w:rsidR="008F7D77" w:rsidRPr="00C84C56">
        <w:rPr>
          <w:szCs w:val="24"/>
        </w:rPr>
        <w:t xml:space="preserve">n </w:t>
      </w:r>
      <w:r w:rsidR="007A4B74" w:rsidRPr="00C84C56">
        <w:rPr>
          <w:szCs w:val="24"/>
        </w:rPr>
        <w:t>one-time</w:t>
      </w:r>
      <w:r w:rsidR="008F7D77" w:rsidRPr="00C84C56">
        <w:rPr>
          <w:szCs w:val="24"/>
        </w:rPr>
        <w:t xml:space="preserve"> funding for grants to eligible CDFIs. </w:t>
      </w:r>
      <w:r w:rsidR="00716D72">
        <w:rPr>
          <w:szCs w:val="24"/>
        </w:rPr>
        <w:t xml:space="preserve">The </w:t>
      </w:r>
      <w:r w:rsidRPr="00C84C56">
        <w:rPr>
          <w:szCs w:val="24"/>
        </w:rPr>
        <w:t xml:space="preserve">Grant </w:t>
      </w:r>
      <w:r w:rsidR="00716D72">
        <w:rPr>
          <w:szCs w:val="24"/>
        </w:rPr>
        <w:t>Period is</w:t>
      </w:r>
      <w:r w:rsidRPr="00C84C56">
        <w:rPr>
          <w:szCs w:val="24"/>
        </w:rPr>
        <w:t xml:space="preserve"> three years from the </w:t>
      </w:r>
      <w:r w:rsidR="00716D72">
        <w:rPr>
          <w:szCs w:val="24"/>
        </w:rPr>
        <w:t xml:space="preserve">effective </w:t>
      </w:r>
      <w:r w:rsidRPr="00C84C56">
        <w:rPr>
          <w:szCs w:val="24"/>
        </w:rPr>
        <w:t xml:space="preserve">date of </w:t>
      </w:r>
      <w:r w:rsidR="00716D72">
        <w:rPr>
          <w:szCs w:val="24"/>
        </w:rPr>
        <w:t>the Grant Contract Agreement</w:t>
      </w:r>
      <w:r w:rsidRPr="00C84C56">
        <w:rPr>
          <w:szCs w:val="24"/>
        </w:rPr>
        <w:t>.</w:t>
      </w:r>
      <w:r w:rsidR="00CE0B95">
        <w:rPr>
          <w:szCs w:val="24"/>
        </w:rPr>
        <w:t xml:space="preserve"> </w:t>
      </w:r>
      <w:r w:rsidR="007A4B74" w:rsidRPr="00C84C56">
        <w:rPr>
          <w:szCs w:val="24"/>
        </w:rPr>
        <w:t>There is no leverage or matching funds require</w:t>
      </w:r>
      <w:r w:rsidR="00695312">
        <w:rPr>
          <w:szCs w:val="24"/>
        </w:rPr>
        <w:t>ment</w:t>
      </w:r>
      <w:r w:rsidR="007A4B74" w:rsidRPr="00C84C56">
        <w:rPr>
          <w:szCs w:val="24"/>
        </w:rPr>
        <w:t>.</w:t>
      </w:r>
    </w:p>
    <w:p w14:paraId="273A5CDA" w14:textId="05F79638" w:rsidR="0036265D" w:rsidRPr="00E570C1" w:rsidRDefault="00C32E65" w:rsidP="00541F2E">
      <w:pPr>
        <w:pStyle w:val="Heading2"/>
        <w:numPr>
          <w:ilvl w:val="0"/>
          <w:numId w:val="14"/>
        </w:numPr>
      </w:pPr>
      <w:bookmarkStart w:id="12" w:name="_Toc188863855"/>
      <w:r>
        <w:t>Eligible</w:t>
      </w:r>
      <w:r w:rsidR="00170A3A">
        <w:t xml:space="preserve"> </w:t>
      </w:r>
      <w:r w:rsidR="004C45D1">
        <w:t>Organization</w:t>
      </w:r>
      <w:r w:rsidR="00385FE3">
        <w:t>s</w:t>
      </w:r>
      <w:bookmarkEnd w:id="12"/>
    </w:p>
    <w:tbl>
      <w:tblPr>
        <w:tblW w:w="0" w:type="auto"/>
        <w:tblCellMar>
          <w:left w:w="0" w:type="dxa"/>
          <w:right w:w="0" w:type="dxa"/>
        </w:tblCellMar>
        <w:tblLook w:val="04A0" w:firstRow="1" w:lastRow="0" w:firstColumn="1" w:lastColumn="0" w:noHBand="0" w:noVBand="1"/>
      </w:tblPr>
      <w:tblGrid>
        <w:gridCol w:w="9340"/>
      </w:tblGrid>
      <w:tr w:rsidR="00131E44" w:rsidRPr="00131E44" w14:paraId="06AF100B" w14:textId="77777777" w:rsidTr="00131E44">
        <w:tc>
          <w:tcPr>
            <w:tcW w:w="9340" w:type="dxa"/>
            <w:tcMar>
              <w:top w:w="80" w:type="dxa"/>
              <w:left w:w="80" w:type="dxa"/>
              <w:bottom w:w="80" w:type="dxa"/>
              <w:right w:w="80" w:type="dxa"/>
            </w:tcMar>
            <w:hideMark/>
          </w:tcPr>
          <w:p w14:paraId="433C9864" w14:textId="175F2C47" w:rsidR="00131E44" w:rsidRPr="00EE1877" w:rsidRDefault="00131E44" w:rsidP="00680920">
            <w:pPr>
              <w:spacing w:before="0" w:after="0" w:line="240" w:lineRule="auto"/>
              <w:ind w:left="-75"/>
              <w:rPr>
                <w:szCs w:val="24"/>
              </w:rPr>
            </w:pPr>
            <w:r w:rsidRPr="00EE1877">
              <w:rPr>
                <w:szCs w:val="24"/>
              </w:rPr>
              <w:t xml:space="preserve">Nonprofit organizations who meet </w:t>
            </w:r>
            <w:r w:rsidR="00591A1C" w:rsidRPr="00EE1877">
              <w:rPr>
                <w:szCs w:val="24"/>
              </w:rPr>
              <w:t>all</w:t>
            </w:r>
            <w:r w:rsidRPr="00EE1877">
              <w:rPr>
                <w:szCs w:val="24"/>
              </w:rPr>
              <w:t xml:space="preserve"> </w:t>
            </w:r>
            <w:r w:rsidR="00D17C70">
              <w:rPr>
                <w:szCs w:val="24"/>
              </w:rPr>
              <w:t xml:space="preserve">of </w:t>
            </w:r>
            <w:r w:rsidRPr="00EE1877">
              <w:rPr>
                <w:szCs w:val="24"/>
              </w:rPr>
              <w:t>the following</w:t>
            </w:r>
            <w:r w:rsidR="00D17C70">
              <w:rPr>
                <w:szCs w:val="24"/>
              </w:rPr>
              <w:t xml:space="preserve"> criteria</w:t>
            </w:r>
            <w:r w:rsidR="00D02305">
              <w:rPr>
                <w:szCs w:val="24"/>
              </w:rPr>
              <w:t xml:space="preserve"> are eligible to apply for funding</w:t>
            </w:r>
            <w:r w:rsidRPr="00EE1877">
              <w:rPr>
                <w:szCs w:val="24"/>
              </w:rPr>
              <w:t>:</w:t>
            </w:r>
          </w:p>
        </w:tc>
      </w:tr>
      <w:tr w:rsidR="00131E44" w:rsidRPr="00131E44" w14:paraId="00B1C2E8" w14:textId="77777777" w:rsidTr="00131E44">
        <w:tc>
          <w:tcPr>
            <w:tcW w:w="9340" w:type="dxa"/>
            <w:tcMar>
              <w:top w:w="80" w:type="dxa"/>
              <w:left w:w="80" w:type="dxa"/>
              <w:bottom w:w="80" w:type="dxa"/>
              <w:right w:w="80" w:type="dxa"/>
            </w:tcMar>
            <w:hideMark/>
          </w:tcPr>
          <w:p w14:paraId="05073610" w14:textId="21870B87" w:rsidR="00131E44" w:rsidRPr="00EE1877" w:rsidRDefault="00716D72" w:rsidP="00541F2E">
            <w:pPr>
              <w:pStyle w:val="ListParagraph"/>
              <w:numPr>
                <w:ilvl w:val="0"/>
                <w:numId w:val="12"/>
              </w:numPr>
              <w:spacing w:before="0" w:after="0" w:line="240" w:lineRule="auto"/>
              <w:rPr>
                <w:szCs w:val="24"/>
              </w:rPr>
            </w:pPr>
            <w:bookmarkStart w:id="13" w:name="_Hlk182920859"/>
            <w:r>
              <w:rPr>
                <w:szCs w:val="24"/>
              </w:rPr>
              <w:t>Q</w:t>
            </w:r>
            <w:r w:rsidR="00131E44" w:rsidRPr="00EE1877">
              <w:rPr>
                <w:szCs w:val="24"/>
              </w:rPr>
              <w:t>ualify for tax</w:t>
            </w:r>
            <w:r w:rsidR="000100EA">
              <w:rPr>
                <w:szCs w:val="24"/>
              </w:rPr>
              <w:t>-</w:t>
            </w:r>
            <w:r w:rsidR="00131E44" w:rsidRPr="00EE1877">
              <w:rPr>
                <w:szCs w:val="24"/>
              </w:rPr>
              <w:t xml:space="preserve">exempt status under </w:t>
            </w:r>
            <w:r w:rsidR="000100EA" w:rsidRPr="00EE1877">
              <w:rPr>
                <w:szCs w:val="24"/>
              </w:rPr>
              <w:t>U</w:t>
            </w:r>
            <w:r w:rsidR="000100EA">
              <w:rPr>
                <w:szCs w:val="24"/>
              </w:rPr>
              <w:t>.</w:t>
            </w:r>
            <w:r w:rsidR="000100EA" w:rsidRPr="00EE1877">
              <w:rPr>
                <w:szCs w:val="24"/>
              </w:rPr>
              <w:t>S</w:t>
            </w:r>
            <w:r w:rsidR="000100EA">
              <w:rPr>
                <w:szCs w:val="24"/>
              </w:rPr>
              <w:t>.</w:t>
            </w:r>
            <w:r w:rsidR="000100EA" w:rsidRPr="00EE1877">
              <w:rPr>
                <w:szCs w:val="24"/>
              </w:rPr>
              <w:t xml:space="preserve"> </w:t>
            </w:r>
            <w:r w:rsidR="00131E44" w:rsidRPr="00EE1877">
              <w:rPr>
                <w:szCs w:val="24"/>
              </w:rPr>
              <w:t>Code, title 26, section 501(c)(3);</w:t>
            </w:r>
          </w:p>
        </w:tc>
      </w:tr>
      <w:tr w:rsidR="00131E44" w:rsidRPr="00131E44" w14:paraId="0C873508" w14:textId="77777777" w:rsidTr="00131E44">
        <w:tc>
          <w:tcPr>
            <w:tcW w:w="9340" w:type="dxa"/>
            <w:tcMar>
              <w:top w:w="80" w:type="dxa"/>
              <w:left w:w="80" w:type="dxa"/>
              <w:bottom w:w="80" w:type="dxa"/>
              <w:right w:w="80" w:type="dxa"/>
            </w:tcMar>
            <w:hideMark/>
          </w:tcPr>
          <w:p w14:paraId="3E8EEF82" w14:textId="4E6C0474" w:rsidR="00131E44" w:rsidRPr="00EE1877" w:rsidRDefault="00716D72" w:rsidP="00541F2E">
            <w:pPr>
              <w:pStyle w:val="ListParagraph"/>
              <w:numPr>
                <w:ilvl w:val="0"/>
                <w:numId w:val="12"/>
              </w:numPr>
              <w:spacing w:before="0" w:after="0" w:line="240" w:lineRule="auto"/>
              <w:rPr>
                <w:szCs w:val="24"/>
              </w:rPr>
            </w:pPr>
            <w:r>
              <w:rPr>
                <w:szCs w:val="24"/>
              </w:rPr>
              <w:t>H</w:t>
            </w:r>
            <w:r w:rsidR="00131E44" w:rsidRPr="00EE1877">
              <w:rPr>
                <w:szCs w:val="24"/>
              </w:rPr>
              <w:t>ave primary operations located in Minnesota;</w:t>
            </w:r>
          </w:p>
        </w:tc>
      </w:tr>
      <w:tr w:rsidR="00131E44" w:rsidRPr="00131E44" w14:paraId="3583EA85" w14:textId="77777777" w:rsidTr="00131E44">
        <w:tc>
          <w:tcPr>
            <w:tcW w:w="9340" w:type="dxa"/>
            <w:tcMar>
              <w:top w:w="80" w:type="dxa"/>
              <w:left w:w="80" w:type="dxa"/>
              <w:bottom w:w="80" w:type="dxa"/>
              <w:right w:w="80" w:type="dxa"/>
            </w:tcMar>
            <w:hideMark/>
          </w:tcPr>
          <w:p w14:paraId="3A0A3AF0" w14:textId="25394A8D" w:rsidR="00131E44" w:rsidRPr="00EE1877" w:rsidRDefault="00716D72" w:rsidP="00541F2E">
            <w:pPr>
              <w:pStyle w:val="ListParagraph"/>
              <w:numPr>
                <w:ilvl w:val="0"/>
                <w:numId w:val="12"/>
              </w:numPr>
              <w:spacing w:before="0" w:after="0" w:line="240" w:lineRule="auto"/>
              <w:rPr>
                <w:szCs w:val="24"/>
              </w:rPr>
            </w:pPr>
            <w:r>
              <w:rPr>
                <w:szCs w:val="24"/>
              </w:rPr>
              <w:t>Are</w:t>
            </w:r>
            <w:r w:rsidRPr="00EE1877">
              <w:rPr>
                <w:szCs w:val="24"/>
              </w:rPr>
              <w:t xml:space="preserve"> </w:t>
            </w:r>
            <w:r w:rsidR="00131E44" w:rsidRPr="00EE1877">
              <w:rPr>
                <w:szCs w:val="24"/>
              </w:rPr>
              <w:t xml:space="preserve">certified as a </w:t>
            </w:r>
            <w:r w:rsidR="00753F0D">
              <w:rPr>
                <w:szCs w:val="24"/>
              </w:rPr>
              <w:t>CDFI</w:t>
            </w:r>
            <w:r w:rsidR="00131E44" w:rsidRPr="00EE1877">
              <w:rPr>
                <w:szCs w:val="24"/>
              </w:rPr>
              <w:t xml:space="preserve"> by the United States Department of the Treasury; and</w:t>
            </w:r>
          </w:p>
        </w:tc>
      </w:tr>
      <w:tr w:rsidR="00131E44" w:rsidRPr="00131E44" w14:paraId="51B8556F" w14:textId="77777777" w:rsidTr="00131E44">
        <w:tc>
          <w:tcPr>
            <w:tcW w:w="9340" w:type="dxa"/>
            <w:tcMar>
              <w:top w:w="80" w:type="dxa"/>
              <w:left w:w="80" w:type="dxa"/>
              <w:bottom w:w="80" w:type="dxa"/>
              <w:right w:w="80" w:type="dxa"/>
            </w:tcMar>
            <w:hideMark/>
          </w:tcPr>
          <w:p w14:paraId="20C8C849" w14:textId="71B1BE6B" w:rsidR="00131E44" w:rsidRPr="00905E8F" w:rsidRDefault="00385FE3" w:rsidP="00541F2E">
            <w:pPr>
              <w:pStyle w:val="ListParagraph"/>
              <w:numPr>
                <w:ilvl w:val="0"/>
                <w:numId w:val="12"/>
              </w:numPr>
              <w:spacing w:before="0" w:after="0" w:line="240" w:lineRule="auto"/>
              <w:rPr>
                <w:szCs w:val="24"/>
              </w:rPr>
            </w:pPr>
            <w:r>
              <w:rPr>
                <w:szCs w:val="24"/>
              </w:rPr>
              <w:t>Provide affordable housing lending or financing programs</w:t>
            </w:r>
            <w:r w:rsidR="00131E44" w:rsidRPr="00905E8F">
              <w:rPr>
                <w:szCs w:val="24"/>
              </w:rPr>
              <w:t>.</w:t>
            </w:r>
          </w:p>
        </w:tc>
      </w:tr>
    </w:tbl>
    <w:p w14:paraId="7F4E0A75" w14:textId="0B8E5676" w:rsidR="00EC5A13" w:rsidRPr="007C76DC" w:rsidRDefault="00170A3A" w:rsidP="00541F2E">
      <w:pPr>
        <w:pStyle w:val="Heading2"/>
        <w:numPr>
          <w:ilvl w:val="0"/>
          <w:numId w:val="14"/>
        </w:numPr>
      </w:pPr>
      <w:bookmarkStart w:id="14" w:name="_Toc183185070"/>
      <w:bookmarkStart w:id="15" w:name="_Toc183185470"/>
      <w:bookmarkStart w:id="16" w:name="_Toc162441873"/>
      <w:bookmarkStart w:id="17" w:name="_Toc188863856"/>
      <w:bookmarkEnd w:id="13"/>
      <w:bookmarkEnd w:id="14"/>
      <w:bookmarkEnd w:id="15"/>
      <w:r>
        <w:lastRenderedPageBreak/>
        <w:t xml:space="preserve">Eligible </w:t>
      </w:r>
      <w:bookmarkEnd w:id="16"/>
      <w:r w:rsidR="00811F0D">
        <w:t>Uses/</w:t>
      </w:r>
      <w:r w:rsidR="004C45D1">
        <w:t>Projects</w:t>
      </w:r>
      <w:bookmarkEnd w:id="17"/>
    </w:p>
    <w:p w14:paraId="03A444E8" w14:textId="51F9265A" w:rsidR="001F3CB9" w:rsidRDefault="001F3CB9" w:rsidP="00526D9E">
      <w:pPr>
        <w:spacing w:line="240" w:lineRule="auto"/>
        <w:rPr>
          <w:szCs w:val="24"/>
        </w:rPr>
      </w:pPr>
      <w:bookmarkStart w:id="18" w:name="_Hlk182396931"/>
      <w:r w:rsidRPr="00301E9E">
        <w:rPr>
          <w:szCs w:val="24"/>
        </w:rPr>
        <w:t xml:space="preserve">Eligible organizations may apply for </w:t>
      </w:r>
      <w:r w:rsidR="00EE1877">
        <w:rPr>
          <w:szCs w:val="24"/>
        </w:rPr>
        <w:t>H</w:t>
      </w:r>
      <w:r w:rsidR="006D39C4" w:rsidRPr="00301E9E">
        <w:rPr>
          <w:szCs w:val="24"/>
        </w:rPr>
        <w:t>omeownership I</w:t>
      </w:r>
      <w:r w:rsidRPr="00301E9E">
        <w:rPr>
          <w:szCs w:val="24"/>
        </w:rPr>
        <w:t xml:space="preserve">nvestment </w:t>
      </w:r>
      <w:r w:rsidR="006D39C4" w:rsidRPr="00301E9E">
        <w:rPr>
          <w:szCs w:val="24"/>
        </w:rPr>
        <w:t>G</w:t>
      </w:r>
      <w:r w:rsidRPr="00301E9E">
        <w:rPr>
          <w:szCs w:val="24"/>
        </w:rPr>
        <w:t xml:space="preserve">rants for affordable owner-occupied housing projects </w:t>
      </w:r>
      <w:r w:rsidR="00716D72">
        <w:rPr>
          <w:szCs w:val="24"/>
        </w:rPr>
        <w:t>that invest in</w:t>
      </w:r>
      <w:r w:rsidRPr="00301E9E">
        <w:rPr>
          <w:szCs w:val="24"/>
        </w:rPr>
        <w:t>:</w:t>
      </w:r>
    </w:p>
    <w:p w14:paraId="4FF42A8F" w14:textId="0E34D75D" w:rsidR="001F3CB9" w:rsidRPr="00301E9E" w:rsidRDefault="001F3CB9" w:rsidP="006F2890">
      <w:pPr>
        <w:numPr>
          <w:ilvl w:val="0"/>
          <w:numId w:val="30"/>
        </w:numPr>
        <w:spacing w:before="0" w:after="0" w:line="360" w:lineRule="auto"/>
        <w:textAlignment w:val="center"/>
        <w:rPr>
          <w:szCs w:val="24"/>
        </w:rPr>
      </w:pPr>
      <w:bookmarkStart w:id="19" w:name="_Hlk182921059"/>
      <w:r w:rsidRPr="00301E9E">
        <w:rPr>
          <w:szCs w:val="24"/>
        </w:rPr>
        <w:t>Housing development to increase the supply of affordable owner-occupied homes</w:t>
      </w:r>
      <w:r w:rsidR="00E70B78">
        <w:rPr>
          <w:szCs w:val="24"/>
        </w:rPr>
        <w:t>.</w:t>
      </w:r>
    </w:p>
    <w:p w14:paraId="65118537" w14:textId="1C36BAAB" w:rsidR="001F3CB9" w:rsidRPr="00301E9E" w:rsidRDefault="001F3CB9" w:rsidP="006F2890">
      <w:pPr>
        <w:numPr>
          <w:ilvl w:val="0"/>
          <w:numId w:val="30"/>
        </w:numPr>
        <w:spacing w:before="0" w:after="0" w:line="360" w:lineRule="auto"/>
        <w:textAlignment w:val="center"/>
        <w:rPr>
          <w:szCs w:val="24"/>
        </w:rPr>
      </w:pPr>
      <w:r w:rsidRPr="00301E9E">
        <w:rPr>
          <w:szCs w:val="24"/>
        </w:rPr>
        <w:t>Financing programs for affordable owner-occupied new home construction</w:t>
      </w:r>
      <w:r w:rsidR="00591A1C">
        <w:rPr>
          <w:szCs w:val="24"/>
        </w:rPr>
        <w:t>.</w:t>
      </w:r>
    </w:p>
    <w:p w14:paraId="50FF6170" w14:textId="158FA56D" w:rsidR="002620BC" w:rsidRDefault="001F3CB9" w:rsidP="006F2890">
      <w:pPr>
        <w:numPr>
          <w:ilvl w:val="0"/>
          <w:numId w:val="30"/>
        </w:numPr>
        <w:spacing w:before="0" w:after="120" w:line="240" w:lineRule="auto"/>
        <w:textAlignment w:val="center"/>
        <w:rPr>
          <w:szCs w:val="24"/>
        </w:rPr>
      </w:pPr>
      <w:r w:rsidRPr="00301E9E">
        <w:rPr>
          <w:szCs w:val="24"/>
        </w:rPr>
        <w:t>Acquisition, rehabilitation, and resale of affordable owner-occupied homes or homes to be converted to owner-occupied homes.</w:t>
      </w:r>
    </w:p>
    <w:p w14:paraId="1C42A326" w14:textId="1C5ADB6E" w:rsidR="001F3CB9" w:rsidRPr="00301E9E" w:rsidRDefault="00E048A7" w:rsidP="006F2890">
      <w:pPr>
        <w:numPr>
          <w:ilvl w:val="0"/>
          <w:numId w:val="30"/>
        </w:numPr>
        <w:spacing w:before="0" w:line="360" w:lineRule="auto"/>
        <w:textAlignment w:val="center"/>
        <w:rPr>
          <w:szCs w:val="24"/>
        </w:rPr>
      </w:pPr>
      <w:r w:rsidRPr="00301E9E">
        <w:rPr>
          <w:szCs w:val="24"/>
        </w:rPr>
        <w:t>E</w:t>
      </w:r>
      <w:r w:rsidR="00531578" w:rsidRPr="00301E9E">
        <w:rPr>
          <w:szCs w:val="24"/>
        </w:rPr>
        <w:t>stablishing revolving loan accounts at community development financial institutions.</w:t>
      </w:r>
    </w:p>
    <w:bookmarkEnd w:id="19"/>
    <w:p w14:paraId="3C6F00B8" w14:textId="48BE4CCB" w:rsidR="00EC5A13" w:rsidRPr="00CB5995" w:rsidRDefault="00F258FD" w:rsidP="006F2890">
      <w:pPr>
        <w:spacing w:before="0" w:after="0" w:line="300" w:lineRule="atLeast"/>
        <w:textAlignment w:val="center"/>
        <w:rPr>
          <w:rFonts w:cs="Calibri"/>
          <w:color w:val="000000" w:themeColor="text2"/>
          <w:sz w:val="22"/>
          <w:lang w:bidi="ar-SA"/>
        </w:rPr>
      </w:pPr>
      <w:r w:rsidRPr="00CB5995">
        <w:rPr>
          <w:color w:val="000000" w:themeColor="text2"/>
          <w:szCs w:val="24"/>
        </w:rPr>
        <w:t>Each application must indicate the amount of funds being requested, supported by a detailed program budget.</w:t>
      </w:r>
      <w:r w:rsidR="00CE0B95" w:rsidRPr="00CB5995">
        <w:rPr>
          <w:color w:val="000000" w:themeColor="text2"/>
          <w:szCs w:val="24"/>
        </w:rPr>
        <w:t xml:space="preserve"> </w:t>
      </w:r>
      <w:r w:rsidRPr="00CB5995">
        <w:rPr>
          <w:color w:val="000000" w:themeColor="text2"/>
          <w:szCs w:val="24"/>
        </w:rPr>
        <w:t xml:space="preserve">Travel </w:t>
      </w:r>
      <w:r w:rsidR="00AB16AF" w:rsidRPr="00CB5995">
        <w:rPr>
          <w:color w:val="000000" w:themeColor="text2"/>
          <w:szCs w:val="24"/>
        </w:rPr>
        <w:t>expenses are</w:t>
      </w:r>
      <w:r w:rsidR="005D68BD" w:rsidRPr="00CB5995">
        <w:rPr>
          <w:color w:val="000000" w:themeColor="text2"/>
          <w:szCs w:val="24"/>
        </w:rPr>
        <w:t xml:space="preserve"> not</w:t>
      </w:r>
      <w:r w:rsidRPr="00CB5995">
        <w:rPr>
          <w:color w:val="000000" w:themeColor="text2"/>
          <w:szCs w:val="24"/>
        </w:rPr>
        <w:t xml:space="preserve"> an eligible use of funds.</w:t>
      </w:r>
      <w:bookmarkEnd w:id="18"/>
    </w:p>
    <w:p w14:paraId="3667D973" w14:textId="16099A5C" w:rsidR="0036265D" w:rsidRPr="00E570C1" w:rsidRDefault="00170A3A" w:rsidP="00541F2E">
      <w:pPr>
        <w:pStyle w:val="Heading2"/>
        <w:numPr>
          <w:ilvl w:val="0"/>
          <w:numId w:val="14"/>
        </w:numPr>
      </w:pPr>
      <w:bookmarkStart w:id="20" w:name="_Toc162441874"/>
      <w:bookmarkStart w:id="21" w:name="_Toc188863857"/>
      <w:r>
        <w:t>Program Expectations</w:t>
      </w:r>
      <w:bookmarkEnd w:id="20"/>
      <w:bookmarkEnd w:id="21"/>
    </w:p>
    <w:p w14:paraId="32DF0B21" w14:textId="7C0F1B37" w:rsidR="00FB4FEA" w:rsidRPr="00B24C18" w:rsidRDefault="00FB4FEA" w:rsidP="00D02305">
      <w:pPr>
        <w:pStyle w:val="Heading3"/>
      </w:pPr>
      <w:bookmarkStart w:id="22" w:name="_Toc188863858"/>
      <w:r w:rsidRPr="00D0215C">
        <w:t>E.1 Program Overview</w:t>
      </w:r>
      <w:bookmarkEnd w:id="22"/>
    </w:p>
    <w:p w14:paraId="5988B8C6" w14:textId="4794D599" w:rsidR="00D0215C" w:rsidRDefault="00DB2D00" w:rsidP="00B50019">
      <w:pPr>
        <w:spacing w:line="240" w:lineRule="auto"/>
        <w:rPr>
          <w:szCs w:val="24"/>
        </w:rPr>
      </w:pPr>
      <w:r w:rsidRPr="00301E9E">
        <w:rPr>
          <w:szCs w:val="24"/>
        </w:rPr>
        <w:t>Applicants will be required to create a program</w:t>
      </w:r>
      <w:r w:rsidR="00FB4FEA">
        <w:rPr>
          <w:szCs w:val="24"/>
        </w:rPr>
        <w:t xml:space="preserve"> or programs</w:t>
      </w:r>
      <w:r w:rsidRPr="00301E9E">
        <w:rPr>
          <w:szCs w:val="24"/>
        </w:rPr>
        <w:t xml:space="preserve"> that meet one or more of the four eligible uses</w:t>
      </w:r>
      <w:r w:rsidR="00FB4FEA">
        <w:rPr>
          <w:szCs w:val="24"/>
        </w:rPr>
        <w:t xml:space="preserve"> as defined in section D above. </w:t>
      </w:r>
      <w:r w:rsidR="00D0215C">
        <w:rPr>
          <w:szCs w:val="24"/>
        </w:rPr>
        <w:t xml:space="preserve">Applicants must complete a separate </w:t>
      </w:r>
      <w:r w:rsidR="00D02305">
        <w:rPr>
          <w:szCs w:val="24"/>
        </w:rPr>
        <w:t>A</w:t>
      </w:r>
      <w:r w:rsidR="00D0215C">
        <w:rPr>
          <w:szCs w:val="24"/>
        </w:rPr>
        <w:t>pplication</w:t>
      </w:r>
      <w:r w:rsidR="00D02305">
        <w:rPr>
          <w:szCs w:val="24"/>
        </w:rPr>
        <w:t xml:space="preserve"> W</w:t>
      </w:r>
      <w:r w:rsidR="00D0215C">
        <w:rPr>
          <w:szCs w:val="24"/>
        </w:rPr>
        <w:t>orkbook</w:t>
      </w:r>
      <w:r w:rsidR="00D02305">
        <w:rPr>
          <w:szCs w:val="24"/>
        </w:rPr>
        <w:t xml:space="preserve"> tab and separate Application Budget tab</w:t>
      </w:r>
      <w:r w:rsidR="00D0215C">
        <w:rPr>
          <w:szCs w:val="24"/>
        </w:rPr>
        <w:t xml:space="preserve"> for each activity.</w:t>
      </w:r>
    </w:p>
    <w:tbl>
      <w:tblPr>
        <w:tblW w:w="0" w:type="auto"/>
        <w:tblCellMar>
          <w:left w:w="0" w:type="dxa"/>
          <w:right w:w="0" w:type="dxa"/>
        </w:tblCellMar>
        <w:tblLook w:val="04A0" w:firstRow="1" w:lastRow="0" w:firstColumn="1" w:lastColumn="0" w:noHBand="0" w:noVBand="1"/>
      </w:tblPr>
      <w:tblGrid>
        <w:gridCol w:w="9360"/>
      </w:tblGrid>
      <w:tr w:rsidR="00D0215C" w:rsidRPr="00D0215C" w14:paraId="6640C29D" w14:textId="77777777" w:rsidTr="00143A83">
        <w:tc>
          <w:tcPr>
            <w:tcW w:w="9360" w:type="dxa"/>
            <w:tcMar>
              <w:top w:w="80" w:type="dxa"/>
              <w:left w:w="80" w:type="dxa"/>
              <w:bottom w:w="80" w:type="dxa"/>
              <w:right w:w="80" w:type="dxa"/>
            </w:tcMar>
            <w:hideMark/>
          </w:tcPr>
          <w:p w14:paraId="53A95D35" w14:textId="33D31DDB" w:rsidR="00D0215C" w:rsidRPr="00D0215C" w:rsidRDefault="00D0215C" w:rsidP="00680920">
            <w:pPr>
              <w:spacing w:before="0" w:after="0" w:line="240" w:lineRule="auto"/>
              <w:ind w:left="-75"/>
              <w:rPr>
                <w:szCs w:val="24"/>
              </w:rPr>
            </w:pPr>
            <w:r w:rsidRPr="00D0215C">
              <w:rPr>
                <w:szCs w:val="24"/>
              </w:rPr>
              <w:t>Organizations applying for a grant must include a plan to create new affordable home ownership and home preservation opportunities for</w:t>
            </w:r>
            <w:r w:rsidR="00E70B78">
              <w:rPr>
                <w:szCs w:val="24"/>
              </w:rPr>
              <w:t xml:space="preserve"> </w:t>
            </w:r>
            <w:r w:rsidRPr="00D0215C">
              <w:rPr>
                <w:szCs w:val="24"/>
              </w:rPr>
              <w:t>targeted areas</w:t>
            </w:r>
            <w:r w:rsidR="00E70B78">
              <w:rPr>
                <w:szCs w:val="24"/>
              </w:rPr>
              <w:t xml:space="preserve"> (service areas proposed by </w:t>
            </w:r>
            <w:r w:rsidR="0068361B">
              <w:rPr>
                <w:szCs w:val="24"/>
              </w:rPr>
              <w:t>A</w:t>
            </w:r>
            <w:r w:rsidR="00E70B78">
              <w:rPr>
                <w:szCs w:val="24"/>
              </w:rPr>
              <w:t>pplicants)</w:t>
            </w:r>
            <w:r w:rsidRPr="00D0215C">
              <w:rPr>
                <w:szCs w:val="24"/>
              </w:rPr>
              <w:t>.</w:t>
            </w:r>
          </w:p>
          <w:p w14:paraId="2369A2C8" w14:textId="77777777" w:rsidR="00D0215C" w:rsidRPr="00D0215C" w:rsidRDefault="00D0215C" w:rsidP="00D0215C">
            <w:pPr>
              <w:spacing w:before="0" w:after="0" w:line="240" w:lineRule="auto"/>
              <w:rPr>
                <w:szCs w:val="24"/>
              </w:rPr>
            </w:pPr>
          </w:p>
          <w:p w14:paraId="392547D0" w14:textId="1EC2A668" w:rsidR="00D0215C" w:rsidRPr="00D0215C" w:rsidRDefault="00D0215C" w:rsidP="00526D9E">
            <w:pPr>
              <w:spacing w:before="0" w:after="0" w:line="240" w:lineRule="auto"/>
              <w:ind w:left="-75"/>
              <w:rPr>
                <w:szCs w:val="24"/>
              </w:rPr>
            </w:pPr>
            <w:r w:rsidRPr="00D0215C">
              <w:rPr>
                <w:szCs w:val="24"/>
              </w:rPr>
              <w:t>Funding under this program will prioritize proposals that</w:t>
            </w:r>
            <w:r w:rsidR="000100EA">
              <w:rPr>
                <w:szCs w:val="24"/>
              </w:rPr>
              <w:t xml:space="preserve"> will</w:t>
            </w:r>
            <w:r w:rsidRPr="00D0215C">
              <w:rPr>
                <w:szCs w:val="24"/>
              </w:rPr>
              <w:t>:</w:t>
            </w:r>
          </w:p>
        </w:tc>
      </w:tr>
      <w:tr w:rsidR="00D0215C" w:rsidRPr="00D0215C" w14:paraId="35D11CDD" w14:textId="77777777" w:rsidTr="00143A83">
        <w:tc>
          <w:tcPr>
            <w:tcW w:w="9360" w:type="dxa"/>
            <w:tcMar>
              <w:top w:w="80" w:type="dxa"/>
              <w:left w:w="80" w:type="dxa"/>
              <w:bottom w:w="80" w:type="dxa"/>
              <w:right w:w="80" w:type="dxa"/>
            </w:tcMar>
            <w:hideMark/>
          </w:tcPr>
          <w:p w14:paraId="5D76E8E2" w14:textId="699702EF" w:rsidR="00D0215C" w:rsidRPr="00D0215C" w:rsidRDefault="000100EA" w:rsidP="00D0215C">
            <w:pPr>
              <w:pStyle w:val="ListParagraph"/>
              <w:numPr>
                <w:ilvl w:val="0"/>
                <w:numId w:val="10"/>
              </w:numPr>
              <w:spacing w:before="0" w:after="0" w:line="240" w:lineRule="auto"/>
              <w:rPr>
                <w:szCs w:val="24"/>
              </w:rPr>
            </w:pPr>
            <w:r>
              <w:rPr>
                <w:szCs w:val="24"/>
              </w:rPr>
              <w:t>C</w:t>
            </w:r>
            <w:r w:rsidR="00D0215C" w:rsidRPr="00D0215C">
              <w:rPr>
                <w:szCs w:val="24"/>
              </w:rPr>
              <w:t>reate impact and result in regional or statewide coverage and/or in underserved communities, including rural, Tribal communities</w:t>
            </w:r>
            <w:r w:rsidR="005608FD">
              <w:rPr>
                <w:szCs w:val="24"/>
              </w:rPr>
              <w:t>,</w:t>
            </w:r>
            <w:r w:rsidR="00D0215C" w:rsidRPr="00D0215C">
              <w:rPr>
                <w:szCs w:val="24"/>
              </w:rPr>
              <w:t xml:space="preserve"> and communities</w:t>
            </w:r>
            <w:r>
              <w:rPr>
                <w:szCs w:val="24"/>
              </w:rPr>
              <w:t xml:space="preserve"> of color</w:t>
            </w:r>
            <w:r w:rsidR="00D0215C" w:rsidRPr="00D0215C">
              <w:rPr>
                <w:szCs w:val="24"/>
              </w:rPr>
              <w:t>.</w:t>
            </w:r>
          </w:p>
        </w:tc>
      </w:tr>
      <w:tr w:rsidR="00D0215C" w:rsidRPr="00D0215C" w14:paraId="53DD17E4" w14:textId="77777777" w:rsidTr="00143A83">
        <w:tc>
          <w:tcPr>
            <w:tcW w:w="9360" w:type="dxa"/>
            <w:tcMar>
              <w:top w:w="80" w:type="dxa"/>
              <w:left w:w="80" w:type="dxa"/>
              <w:bottom w:w="80" w:type="dxa"/>
              <w:right w:w="80" w:type="dxa"/>
            </w:tcMar>
            <w:hideMark/>
          </w:tcPr>
          <w:p w14:paraId="324D204E" w14:textId="2AE49FE5" w:rsidR="00D0215C" w:rsidRPr="00D0215C" w:rsidRDefault="000100EA" w:rsidP="00D0215C">
            <w:pPr>
              <w:pStyle w:val="ListParagraph"/>
              <w:numPr>
                <w:ilvl w:val="0"/>
                <w:numId w:val="10"/>
              </w:numPr>
              <w:spacing w:before="0" w:after="0" w:line="240" w:lineRule="auto"/>
              <w:rPr>
                <w:szCs w:val="24"/>
              </w:rPr>
            </w:pPr>
            <w:r>
              <w:rPr>
                <w:szCs w:val="24"/>
              </w:rPr>
              <w:t>C</w:t>
            </w:r>
            <w:r w:rsidR="00D0215C" w:rsidRPr="00D0215C">
              <w:rPr>
                <w:szCs w:val="24"/>
              </w:rPr>
              <w:t>reate maximum impact on affordable home supply through efficiencies of scale and delivery, leverage, provision of low-cost capital, and/or revolving funds to leverage state investment.</w:t>
            </w:r>
          </w:p>
        </w:tc>
      </w:tr>
      <w:tr w:rsidR="00D0215C" w:rsidRPr="00D0215C" w14:paraId="3413F5E3" w14:textId="77777777" w:rsidTr="00143A83">
        <w:tc>
          <w:tcPr>
            <w:tcW w:w="9360" w:type="dxa"/>
            <w:tcMar>
              <w:top w:w="80" w:type="dxa"/>
              <w:left w:w="80" w:type="dxa"/>
              <w:bottom w:w="80" w:type="dxa"/>
              <w:right w:w="80" w:type="dxa"/>
            </w:tcMar>
            <w:hideMark/>
          </w:tcPr>
          <w:p w14:paraId="63EA7193" w14:textId="77777777" w:rsidR="00D0215C" w:rsidRPr="00D0215C" w:rsidRDefault="00D0215C" w:rsidP="00D0215C">
            <w:pPr>
              <w:pStyle w:val="ListParagraph"/>
              <w:numPr>
                <w:ilvl w:val="0"/>
                <w:numId w:val="10"/>
              </w:numPr>
              <w:spacing w:before="0" w:after="0" w:line="240" w:lineRule="auto"/>
              <w:rPr>
                <w:szCs w:val="24"/>
              </w:rPr>
            </w:pPr>
            <w:r w:rsidRPr="00D0215C">
              <w:rPr>
                <w:szCs w:val="24"/>
              </w:rPr>
              <w:t>Demonstrate experience in financing affordable homeownership through loans or grants to individuals and/or nonprofit organizations. Proposals demonstrating significant experience with direct lending, as well as lending in an intermediary role, will be prioritized.</w:t>
            </w:r>
          </w:p>
        </w:tc>
      </w:tr>
      <w:tr w:rsidR="00D0215C" w:rsidRPr="00D0215C" w14:paraId="21042305" w14:textId="77777777" w:rsidTr="00143A83">
        <w:trPr>
          <w:trHeight w:val="1531"/>
        </w:trPr>
        <w:tc>
          <w:tcPr>
            <w:tcW w:w="9360" w:type="dxa"/>
            <w:tcMar>
              <w:top w:w="80" w:type="dxa"/>
              <w:left w:w="80" w:type="dxa"/>
              <w:bottom w:w="80" w:type="dxa"/>
              <w:right w:w="80" w:type="dxa"/>
            </w:tcMar>
            <w:hideMark/>
          </w:tcPr>
          <w:p w14:paraId="7CCCC500" w14:textId="01E4AC4C" w:rsidR="00D0215C" w:rsidRPr="00D0215C" w:rsidRDefault="00D0215C" w:rsidP="00B50019">
            <w:pPr>
              <w:pStyle w:val="ListParagraph"/>
              <w:numPr>
                <w:ilvl w:val="0"/>
                <w:numId w:val="10"/>
              </w:numPr>
              <w:spacing w:line="240" w:lineRule="auto"/>
              <w:contextualSpacing w:val="0"/>
              <w:rPr>
                <w:szCs w:val="24"/>
              </w:rPr>
            </w:pPr>
            <w:r w:rsidRPr="00D0215C">
              <w:rPr>
                <w:szCs w:val="24"/>
              </w:rPr>
              <w:lastRenderedPageBreak/>
              <w:t>Include outreach and service to BIPOC and underserved communities in the service area proposed</w:t>
            </w:r>
            <w:r w:rsidR="007911B3">
              <w:rPr>
                <w:szCs w:val="24"/>
              </w:rPr>
              <w:t>,</w:t>
            </w:r>
            <w:r w:rsidRPr="00D0215C">
              <w:rPr>
                <w:szCs w:val="24"/>
              </w:rPr>
              <w:t xml:space="preserve"> and a plan to engage nonprofit homeownership partners who do outreach and service to BIPOC and underserved communities.</w:t>
            </w:r>
          </w:p>
          <w:p w14:paraId="02334793" w14:textId="611B1E84" w:rsidR="00D0215C" w:rsidRPr="00D0215C" w:rsidRDefault="00AA7AA0" w:rsidP="00B50019">
            <w:pPr>
              <w:pStyle w:val="ListParagraph"/>
              <w:numPr>
                <w:ilvl w:val="0"/>
                <w:numId w:val="10"/>
              </w:numPr>
              <w:spacing w:line="240" w:lineRule="auto"/>
              <w:contextualSpacing w:val="0"/>
              <w:rPr>
                <w:szCs w:val="24"/>
              </w:rPr>
            </w:pPr>
            <w:r w:rsidRPr="00D0215C">
              <w:rPr>
                <w:szCs w:val="24"/>
              </w:rPr>
              <w:t>Demonstra</w:t>
            </w:r>
            <w:r>
              <w:rPr>
                <w:szCs w:val="24"/>
              </w:rPr>
              <w:t xml:space="preserve">te </w:t>
            </w:r>
            <w:r w:rsidR="00D0215C" w:rsidRPr="00D0215C">
              <w:rPr>
                <w:szCs w:val="24"/>
              </w:rPr>
              <w:t>reaching</w:t>
            </w:r>
            <w:r>
              <w:rPr>
                <w:szCs w:val="24"/>
              </w:rPr>
              <w:t xml:space="preserve"> </w:t>
            </w:r>
            <w:r w:rsidR="00D0215C" w:rsidRPr="00D0215C">
              <w:rPr>
                <w:szCs w:val="24"/>
              </w:rPr>
              <w:t>low-and</w:t>
            </w:r>
            <w:r w:rsidR="00605CE7">
              <w:rPr>
                <w:szCs w:val="24"/>
              </w:rPr>
              <w:t xml:space="preserve"> </w:t>
            </w:r>
            <w:r w:rsidR="00D0215C" w:rsidRPr="00D0215C">
              <w:rPr>
                <w:szCs w:val="24"/>
              </w:rPr>
              <w:t>moderate</w:t>
            </w:r>
            <w:r w:rsidR="00605CE7">
              <w:rPr>
                <w:szCs w:val="24"/>
              </w:rPr>
              <w:t>-</w:t>
            </w:r>
            <w:r w:rsidR="00D0215C" w:rsidRPr="00D0215C">
              <w:rPr>
                <w:szCs w:val="24"/>
              </w:rPr>
              <w:t xml:space="preserve">income households to </w:t>
            </w:r>
            <w:r w:rsidRPr="00D0215C">
              <w:rPr>
                <w:szCs w:val="24"/>
              </w:rPr>
              <w:t>achiev</w:t>
            </w:r>
            <w:r>
              <w:rPr>
                <w:szCs w:val="24"/>
              </w:rPr>
              <w:t>e</w:t>
            </w:r>
            <w:r w:rsidRPr="00D0215C">
              <w:rPr>
                <w:szCs w:val="24"/>
              </w:rPr>
              <w:t xml:space="preserve"> </w:t>
            </w:r>
            <w:r w:rsidR="00D0215C" w:rsidRPr="00D0215C">
              <w:rPr>
                <w:szCs w:val="24"/>
              </w:rPr>
              <w:t>affordable homeownership.</w:t>
            </w:r>
          </w:p>
          <w:p w14:paraId="29EE1EC1" w14:textId="452D3B24" w:rsidR="00D0215C" w:rsidRPr="00D0215C" w:rsidRDefault="00D0215C" w:rsidP="00B50019">
            <w:pPr>
              <w:pStyle w:val="ListParagraph"/>
              <w:numPr>
                <w:ilvl w:val="0"/>
                <w:numId w:val="10"/>
              </w:numPr>
              <w:spacing w:line="240" w:lineRule="auto"/>
              <w:contextualSpacing w:val="0"/>
              <w:rPr>
                <w:szCs w:val="24"/>
              </w:rPr>
            </w:pPr>
            <w:r w:rsidRPr="00D0215C">
              <w:rPr>
                <w:szCs w:val="24"/>
              </w:rPr>
              <w:t xml:space="preserve">Support the development and/or rehabilitation of owner-occupied housing in a range of communities so that low- and moderate-income </w:t>
            </w:r>
            <w:r w:rsidR="00AA7AA0">
              <w:rPr>
                <w:szCs w:val="24"/>
              </w:rPr>
              <w:t>households</w:t>
            </w:r>
            <w:r w:rsidR="00AA7AA0" w:rsidRPr="00D0215C">
              <w:rPr>
                <w:szCs w:val="24"/>
              </w:rPr>
              <w:t xml:space="preserve"> </w:t>
            </w:r>
            <w:r w:rsidRPr="00D0215C">
              <w:rPr>
                <w:szCs w:val="24"/>
              </w:rPr>
              <w:t xml:space="preserve">have greater choice in where they </w:t>
            </w:r>
            <w:r w:rsidR="00605CE7" w:rsidRPr="00D0215C">
              <w:rPr>
                <w:szCs w:val="24"/>
              </w:rPr>
              <w:t>can</w:t>
            </w:r>
            <w:r w:rsidRPr="00D0215C">
              <w:rPr>
                <w:szCs w:val="24"/>
              </w:rPr>
              <w:t xml:space="preserve"> buy a home.</w:t>
            </w:r>
          </w:p>
          <w:p w14:paraId="4569B457" w14:textId="48641BC7" w:rsidR="00D0215C" w:rsidRPr="00D0215C" w:rsidRDefault="00D0215C" w:rsidP="00D0215C">
            <w:pPr>
              <w:pStyle w:val="ListParagraph"/>
              <w:numPr>
                <w:ilvl w:val="0"/>
                <w:numId w:val="10"/>
              </w:numPr>
              <w:spacing w:line="240" w:lineRule="auto"/>
              <w:rPr>
                <w:szCs w:val="24"/>
              </w:rPr>
            </w:pPr>
            <w:r w:rsidRPr="00D0215C">
              <w:rPr>
                <w:szCs w:val="24"/>
              </w:rPr>
              <w:t>Demonstra</w:t>
            </w:r>
            <w:r w:rsidR="00CA2B75">
              <w:rPr>
                <w:szCs w:val="24"/>
              </w:rPr>
              <w:t xml:space="preserve">te </w:t>
            </w:r>
            <w:r w:rsidR="00AA7AA0">
              <w:rPr>
                <w:szCs w:val="24"/>
              </w:rPr>
              <w:t>t</w:t>
            </w:r>
            <w:r w:rsidR="00D02305">
              <w:rPr>
                <w:szCs w:val="24"/>
              </w:rPr>
              <w:t>h</w:t>
            </w:r>
            <w:r w:rsidR="00AA7AA0">
              <w:rPr>
                <w:szCs w:val="24"/>
              </w:rPr>
              <w:t xml:space="preserve">e </w:t>
            </w:r>
            <w:r w:rsidRPr="00D0215C">
              <w:rPr>
                <w:szCs w:val="24"/>
              </w:rPr>
              <w:t xml:space="preserve">capacity and feasibility </w:t>
            </w:r>
            <w:r w:rsidR="00AA7AA0">
              <w:rPr>
                <w:szCs w:val="24"/>
              </w:rPr>
              <w:t xml:space="preserve">to administer </w:t>
            </w:r>
            <w:r w:rsidRPr="00D0215C">
              <w:rPr>
                <w:szCs w:val="24"/>
              </w:rPr>
              <w:t>the financing program(s) proposed.</w:t>
            </w:r>
          </w:p>
          <w:p w14:paraId="033846E3" w14:textId="77777777" w:rsidR="00D0215C" w:rsidRPr="00D0215C" w:rsidRDefault="00D0215C" w:rsidP="00D0215C">
            <w:pPr>
              <w:pStyle w:val="ListParagraph"/>
              <w:numPr>
                <w:ilvl w:val="0"/>
                <w:numId w:val="0"/>
              </w:numPr>
              <w:spacing w:line="240" w:lineRule="auto"/>
              <w:ind w:left="720"/>
              <w:rPr>
                <w:szCs w:val="24"/>
              </w:rPr>
            </w:pPr>
          </w:p>
        </w:tc>
      </w:tr>
      <w:tr w:rsidR="00D0215C" w:rsidRPr="00D0215C" w14:paraId="4D5B81B2" w14:textId="77777777" w:rsidTr="00143A83">
        <w:tc>
          <w:tcPr>
            <w:tcW w:w="9360" w:type="dxa"/>
            <w:tcMar>
              <w:top w:w="80" w:type="dxa"/>
              <w:left w:w="80" w:type="dxa"/>
              <w:bottom w:w="80" w:type="dxa"/>
              <w:right w:w="80" w:type="dxa"/>
            </w:tcMar>
            <w:hideMark/>
          </w:tcPr>
          <w:p w14:paraId="36C04545" w14:textId="6501AF41" w:rsidR="00D0215C" w:rsidRPr="00D0215C" w:rsidRDefault="00D0215C" w:rsidP="00687162">
            <w:pPr>
              <w:spacing w:before="0" w:after="0" w:line="240" w:lineRule="auto"/>
              <w:ind w:left="-72"/>
              <w:rPr>
                <w:szCs w:val="24"/>
              </w:rPr>
            </w:pPr>
            <w:r w:rsidRPr="00D0215C">
              <w:rPr>
                <w:szCs w:val="24"/>
              </w:rPr>
              <w:t xml:space="preserve">Overall, a priority for the </w:t>
            </w:r>
            <w:r w:rsidR="00AA7AA0">
              <w:rPr>
                <w:szCs w:val="24"/>
              </w:rPr>
              <w:t>P</w:t>
            </w:r>
            <w:r w:rsidRPr="00D0215C">
              <w:rPr>
                <w:szCs w:val="24"/>
              </w:rPr>
              <w:t xml:space="preserve">rogram is to provide </w:t>
            </w:r>
            <w:r w:rsidR="00AA7AA0">
              <w:rPr>
                <w:szCs w:val="24"/>
              </w:rPr>
              <w:t xml:space="preserve">grants to fund </w:t>
            </w:r>
            <w:r w:rsidRPr="00D0215C">
              <w:rPr>
                <w:szCs w:val="24"/>
              </w:rPr>
              <w:t xml:space="preserve">the full range of activities across the entire state. </w:t>
            </w:r>
            <w:r w:rsidR="00AA7AA0">
              <w:rPr>
                <w:szCs w:val="24"/>
              </w:rPr>
              <w:t>Minnesota Housing</w:t>
            </w:r>
            <w:r w:rsidRPr="00D0215C">
              <w:rPr>
                <w:szCs w:val="24"/>
              </w:rPr>
              <w:t xml:space="preserve"> will </w:t>
            </w:r>
            <w:r w:rsidR="00AA7AA0">
              <w:rPr>
                <w:szCs w:val="24"/>
              </w:rPr>
              <w:t xml:space="preserve">award grants to </w:t>
            </w:r>
            <w:r w:rsidRPr="00D0215C">
              <w:rPr>
                <w:szCs w:val="24"/>
              </w:rPr>
              <w:t>ensure Greater Minnesota geographies have equitable access to these resources.</w:t>
            </w:r>
          </w:p>
          <w:p w14:paraId="092E395E" w14:textId="77777777" w:rsidR="00D0215C" w:rsidRPr="009B4467" w:rsidRDefault="00D0215C" w:rsidP="00D0215C">
            <w:pPr>
              <w:spacing w:before="0" w:after="0" w:line="240" w:lineRule="auto"/>
              <w:rPr>
                <w:szCs w:val="24"/>
              </w:rPr>
            </w:pPr>
          </w:p>
        </w:tc>
      </w:tr>
    </w:tbl>
    <w:p w14:paraId="4B96BA73" w14:textId="10AE9516" w:rsidR="0036265D" w:rsidRPr="00E570C1" w:rsidRDefault="00816F45" w:rsidP="00687162">
      <w:pPr>
        <w:pStyle w:val="Heading2"/>
        <w:numPr>
          <w:ilvl w:val="0"/>
          <w:numId w:val="14"/>
        </w:numPr>
        <w:spacing w:before="200"/>
      </w:pPr>
      <w:bookmarkStart w:id="23" w:name="_Toc162441875"/>
      <w:bookmarkStart w:id="24" w:name="_Toc188863859"/>
      <w:r>
        <w:t>Equity</w:t>
      </w:r>
      <w:bookmarkEnd w:id="23"/>
      <w:bookmarkEnd w:id="24"/>
    </w:p>
    <w:p w14:paraId="44D7631F" w14:textId="135EBDA8" w:rsidR="000635AA" w:rsidRDefault="000635AA" w:rsidP="0036265D">
      <w:pPr>
        <w:spacing w:after="0" w:line="240" w:lineRule="auto"/>
        <w:rPr>
          <w:rStyle w:val="ui-provider"/>
          <w:rFonts w:eastAsiaTheme="majorEastAsia"/>
        </w:rPr>
      </w:pPr>
      <w:r>
        <w:rPr>
          <w:rStyle w:val="ui-provider"/>
          <w:rFonts w:eastAsiaTheme="majorEastAsia"/>
        </w:rPr>
        <w:t>Minnesota thrives because of its diversity of race, ethnicity, Indigenous populations, sexual orientation, gender identity, (dis)abilities, ages, families, and geographies including greater Minnesota and urban/metropolitan areas. Discrimination and lack of access to resources and other barriers have led to disparities that inhibit Minnesotans from achieving their fullest potential.</w:t>
      </w:r>
    </w:p>
    <w:p w14:paraId="07DDE542" w14:textId="349E957F" w:rsidR="000635AA" w:rsidRDefault="000635AA" w:rsidP="0036265D">
      <w:pPr>
        <w:spacing w:after="0" w:line="240" w:lineRule="auto"/>
        <w:rPr>
          <w:rStyle w:val="ui-provider"/>
          <w:rFonts w:eastAsiaTheme="majorEastAsia"/>
        </w:rPr>
      </w:pPr>
      <w:r>
        <w:rPr>
          <w:rStyle w:val="ui-provider"/>
          <w:rFonts w:eastAsiaTheme="majorEastAsia"/>
        </w:rPr>
        <w:t xml:space="preserve">Minnesota Housing centers communities most impacted by housing instability and disparities in its work to advance </w:t>
      </w:r>
      <w:r w:rsidRPr="0005149C">
        <w:rPr>
          <w:rStyle w:val="ui-provider"/>
          <w:rFonts w:eastAsiaTheme="majorEastAsia"/>
        </w:rPr>
        <w:t xml:space="preserve">equity. </w:t>
      </w:r>
      <w:r w:rsidRPr="009D12CE">
        <w:rPr>
          <w:rStyle w:val="ui-provider"/>
          <w:rFonts w:eastAsiaTheme="majorEastAsia"/>
        </w:rPr>
        <w:t>This is a core value in all of Minnesota Housing’s activities</w:t>
      </w:r>
      <w:r w:rsidRPr="0005149C">
        <w:rPr>
          <w:rStyle w:val="ui-provider"/>
          <w:rFonts w:eastAsiaTheme="majorEastAsia"/>
        </w:rPr>
        <w:t>. This</w:t>
      </w:r>
      <w:r>
        <w:rPr>
          <w:rStyle w:val="ui-provider"/>
          <w:rFonts w:eastAsiaTheme="majorEastAsia"/>
        </w:rPr>
        <w:t xml:space="preserve"> RFP is designed to prioritize projects that center equity and inclusion.</w:t>
      </w:r>
    </w:p>
    <w:p w14:paraId="08C02826" w14:textId="3A2C30F5" w:rsidR="00687162" w:rsidRDefault="000635AA" w:rsidP="0036265D">
      <w:pPr>
        <w:spacing w:after="0" w:line="240" w:lineRule="auto"/>
        <w:rPr>
          <w:rStyle w:val="ui-provider"/>
          <w:rFonts w:eastAsiaTheme="majorEastAsia"/>
          <w:color w:val="000000" w:themeColor="text2"/>
        </w:rPr>
      </w:pPr>
      <w:r w:rsidRPr="00687162">
        <w:rPr>
          <w:rStyle w:val="ui-provider"/>
          <w:rFonts w:eastAsiaTheme="majorEastAsia"/>
          <w:color w:val="000000" w:themeColor="text2"/>
        </w:rPr>
        <w:t xml:space="preserve">It is the policy of Minnesota Housing to further fair housing opportunities in all of Minnesota Housing’s programs and to administer its housing programs affirmatively, so that Minnesotans of similar income levels have equal access to Minnesota Housing programs regardless of race, color, creed, religion, national origin, sex, sexual orientation, marital status, status </w:t>
      </w:r>
      <w:proofErr w:type="gramStart"/>
      <w:r w:rsidRPr="00687162">
        <w:rPr>
          <w:rStyle w:val="ui-provider"/>
          <w:rFonts w:eastAsiaTheme="majorEastAsia"/>
          <w:color w:val="000000" w:themeColor="text2"/>
        </w:rPr>
        <w:t>with regard to</w:t>
      </w:r>
      <w:proofErr w:type="gramEnd"/>
      <w:r w:rsidRPr="00687162">
        <w:rPr>
          <w:rStyle w:val="ui-provider"/>
          <w:rFonts w:eastAsiaTheme="majorEastAsia"/>
          <w:color w:val="000000" w:themeColor="text2"/>
        </w:rPr>
        <w:t xml:space="preserve"> receipt of public assistance, disability, or family status.</w:t>
      </w:r>
    </w:p>
    <w:p w14:paraId="4C5EF946" w14:textId="77777777" w:rsidR="00687162" w:rsidRDefault="00687162">
      <w:pPr>
        <w:spacing w:before="120" w:after="0"/>
        <w:rPr>
          <w:rStyle w:val="ui-provider"/>
          <w:rFonts w:eastAsiaTheme="majorEastAsia"/>
          <w:color w:val="000000" w:themeColor="text2"/>
        </w:rPr>
      </w:pPr>
      <w:r>
        <w:rPr>
          <w:rStyle w:val="ui-provider"/>
          <w:rFonts w:eastAsiaTheme="majorEastAsia"/>
          <w:color w:val="000000" w:themeColor="text2"/>
        </w:rPr>
        <w:br w:type="page"/>
      </w:r>
    </w:p>
    <w:p w14:paraId="4B652FDD" w14:textId="42D9FD35" w:rsidR="00170A3A" w:rsidRDefault="00170A3A" w:rsidP="00541F2E">
      <w:pPr>
        <w:pStyle w:val="Heading2"/>
        <w:numPr>
          <w:ilvl w:val="0"/>
          <w:numId w:val="14"/>
        </w:numPr>
      </w:pPr>
      <w:bookmarkStart w:id="25" w:name="_Toc162441876"/>
      <w:bookmarkStart w:id="26" w:name="_Toc188863860"/>
      <w:r>
        <w:lastRenderedPageBreak/>
        <w:t>Review Criteria</w:t>
      </w:r>
      <w:bookmarkEnd w:id="25"/>
      <w:bookmarkEnd w:id="26"/>
    </w:p>
    <w:p w14:paraId="3535CBDC" w14:textId="3FD3AC73" w:rsidR="006C55BF" w:rsidRDefault="0036265D" w:rsidP="0036265D">
      <w:pPr>
        <w:widowControl w:val="0"/>
        <w:suppressAutoHyphens/>
        <w:spacing w:after="0" w:line="240" w:lineRule="auto"/>
        <w:contextualSpacing/>
        <w:rPr>
          <w:rStyle w:val="ui-provider"/>
          <w:rFonts w:eastAsiaTheme="majorEastAsia"/>
        </w:rPr>
      </w:pPr>
      <w:r w:rsidRPr="00E570C1">
        <w:rPr>
          <w:rFonts w:cs="Calibri"/>
          <w:szCs w:val="24"/>
        </w:rPr>
        <w:t xml:space="preserve">This is a competitive application process. </w:t>
      </w:r>
      <w:r w:rsidR="00CF2A8F">
        <w:rPr>
          <w:rStyle w:val="ui-provider"/>
          <w:rFonts w:eastAsiaTheme="majorEastAsia"/>
        </w:rPr>
        <w:t xml:space="preserve">All </w:t>
      </w:r>
      <w:r w:rsidR="005F6623">
        <w:rPr>
          <w:rStyle w:val="ui-provider"/>
          <w:rFonts w:eastAsiaTheme="majorEastAsia"/>
        </w:rPr>
        <w:t>complete, timely submitted application</w:t>
      </w:r>
      <w:r w:rsidR="00CF2A8F">
        <w:rPr>
          <w:rStyle w:val="ui-provider"/>
          <w:rFonts w:eastAsiaTheme="majorEastAsia"/>
        </w:rPr>
        <w:t>s</w:t>
      </w:r>
      <w:r w:rsidR="005F6623">
        <w:rPr>
          <w:rStyle w:val="ui-provider"/>
          <w:rFonts w:eastAsiaTheme="majorEastAsia"/>
        </w:rPr>
        <w:t xml:space="preserve"> </w:t>
      </w:r>
      <w:r w:rsidR="000635AA">
        <w:rPr>
          <w:rStyle w:val="ui-provider"/>
          <w:rFonts w:eastAsiaTheme="majorEastAsia"/>
        </w:rPr>
        <w:t xml:space="preserve">that meet the </w:t>
      </w:r>
      <w:r w:rsidR="00F318BD">
        <w:rPr>
          <w:rStyle w:val="ui-provider"/>
          <w:rFonts w:eastAsiaTheme="majorEastAsia"/>
        </w:rPr>
        <w:t>application requirements and f</w:t>
      </w:r>
      <w:r w:rsidR="000635AA">
        <w:rPr>
          <w:rStyle w:val="ui-provider"/>
          <w:rFonts w:eastAsiaTheme="majorEastAsia"/>
        </w:rPr>
        <w:t xml:space="preserve">unding </w:t>
      </w:r>
      <w:r w:rsidR="00F318BD">
        <w:rPr>
          <w:rStyle w:val="ui-provider"/>
          <w:rFonts w:eastAsiaTheme="majorEastAsia"/>
        </w:rPr>
        <w:t>p</w:t>
      </w:r>
      <w:r w:rsidR="000635AA">
        <w:rPr>
          <w:rStyle w:val="ui-provider"/>
          <w:rFonts w:eastAsiaTheme="majorEastAsia"/>
        </w:rPr>
        <w:t xml:space="preserve">riorities are presented to and scored by </w:t>
      </w:r>
      <w:r w:rsidR="006C55BF">
        <w:rPr>
          <w:rStyle w:val="ui-provider"/>
          <w:rFonts w:eastAsiaTheme="majorEastAsia"/>
        </w:rPr>
        <w:t>a</w:t>
      </w:r>
      <w:r w:rsidR="000635AA">
        <w:rPr>
          <w:rStyle w:val="ui-provider"/>
          <w:rFonts w:eastAsiaTheme="majorEastAsia"/>
        </w:rPr>
        <w:t xml:space="preserve"> Minnesota Housing Selections Committee.</w:t>
      </w:r>
    </w:p>
    <w:p w14:paraId="7D245D1A" w14:textId="77777777" w:rsidR="006C55BF" w:rsidRDefault="006C55BF" w:rsidP="0036265D">
      <w:pPr>
        <w:widowControl w:val="0"/>
        <w:suppressAutoHyphens/>
        <w:spacing w:after="0" w:line="240" w:lineRule="auto"/>
        <w:contextualSpacing/>
        <w:rPr>
          <w:rStyle w:val="ui-provider"/>
          <w:rFonts w:eastAsiaTheme="majorEastAsia"/>
        </w:rPr>
      </w:pPr>
    </w:p>
    <w:p w14:paraId="23E759DC" w14:textId="77777777" w:rsidR="00F318BD" w:rsidRDefault="006C55BF" w:rsidP="0036265D">
      <w:pPr>
        <w:widowControl w:val="0"/>
        <w:suppressAutoHyphens/>
        <w:spacing w:after="0" w:line="240" w:lineRule="auto"/>
        <w:contextualSpacing/>
        <w:rPr>
          <w:rStyle w:val="ui-provider"/>
          <w:rFonts w:eastAsiaTheme="majorEastAsia"/>
        </w:rPr>
      </w:pPr>
      <w:r>
        <w:rPr>
          <w:rStyle w:val="ui-provider"/>
          <w:rFonts w:eastAsiaTheme="majorEastAsia"/>
        </w:rPr>
        <w:t>The dollar amount of selected awards will</w:t>
      </w:r>
      <w:r w:rsidR="00B4334B">
        <w:rPr>
          <w:rStyle w:val="ui-provider"/>
          <w:rFonts w:eastAsiaTheme="majorEastAsia"/>
        </w:rPr>
        <w:t xml:space="preserve"> depend on several factors including, but not limited to: </w:t>
      </w:r>
    </w:p>
    <w:p w14:paraId="2FEF35EB" w14:textId="368B9B95" w:rsidR="00F318BD" w:rsidRDefault="00F318BD" w:rsidP="00F318BD">
      <w:pPr>
        <w:pStyle w:val="ListParagraph"/>
        <w:widowControl w:val="0"/>
        <w:numPr>
          <w:ilvl w:val="0"/>
          <w:numId w:val="31"/>
        </w:numPr>
        <w:suppressAutoHyphens/>
        <w:spacing w:after="0" w:line="240" w:lineRule="auto"/>
        <w:rPr>
          <w:rStyle w:val="ui-provider"/>
          <w:rFonts w:eastAsiaTheme="majorEastAsia"/>
        </w:rPr>
      </w:pPr>
      <w:r>
        <w:rPr>
          <w:rStyle w:val="ui-provider"/>
          <w:rFonts w:eastAsiaTheme="majorEastAsia"/>
        </w:rPr>
        <w:t>T</w:t>
      </w:r>
      <w:r w:rsidR="00B4334B" w:rsidRPr="00F318BD">
        <w:rPr>
          <w:rStyle w:val="ui-provider"/>
          <w:rFonts w:eastAsiaTheme="majorEastAsia"/>
        </w:rPr>
        <w:t xml:space="preserve">he number of applications </w:t>
      </w:r>
      <w:r w:rsidRPr="00F318BD">
        <w:rPr>
          <w:rStyle w:val="ui-provider"/>
          <w:rFonts w:eastAsiaTheme="majorEastAsia"/>
        </w:rPr>
        <w:t>received</w:t>
      </w:r>
    </w:p>
    <w:p w14:paraId="1EF4B8F9" w14:textId="24DC7ADF" w:rsidR="009A1A27" w:rsidRDefault="009A1A27" w:rsidP="00F318BD">
      <w:pPr>
        <w:pStyle w:val="ListParagraph"/>
        <w:widowControl w:val="0"/>
        <w:numPr>
          <w:ilvl w:val="0"/>
          <w:numId w:val="31"/>
        </w:numPr>
        <w:suppressAutoHyphens/>
        <w:spacing w:after="0" w:line="240" w:lineRule="auto"/>
        <w:rPr>
          <w:rStyle w:val="ui-provider"/>
          <w:rFonts w:eastAsiaTheme="majorEastAsia"/>
        </w:rPr>
      </w:pPr>
      <w:r>
        <w:rPr>
          <w:rStyle w:val="ui-provider"/>
          <w:rFonts w:eastAsiaTheme="majorEastAsia"/>
        </w:rPr>
        <w:t>Amounts requested</w:t>
      </w:r>
    </w:p>
    <w:p w14:paraId="372841DB" w14:textId="39628B63" w:rsidR="00F318BD" w:rsidRDefault="00F318BD" w:rsidP="00F318BD">
      <w:pPr>
        <w:pStyle w:val="ListParagraph"/>
        <w:widowControl w:val="0"/>
        <w:numPr>
          <w:ilvl w:val="0"/>
          <w:numId w:val="31"/>
        </w:numPr>
        <w:suppressAutoHyphens/>
        <w:spacing w:after="0" w:line="240" w:lineRule="auto"/>
        <w:rPr>
          <w:rStyle w:val="ui-provider"/>
          <w:rFonts w:eastAsiaTheme="majorEastAsia"/>
        </w:rPr>
      </w:pPr>
      <w:r>
        <w:rPr>
          <w:rStyle w:val="ui-provider"/>
          <w:rFonts w:eastAsiaTheme="majorEastAsia"/>
        </w:rPr>
        <w:t>S</w:t>
      </w:r>
      <w:r w:rsidR="00B4334B" w:rsidRPr="00F318BD">
        <w:rPr>
          <w:rStyle w:val="ui-provider"/>
          <w:rFonts w:eastAsiaTheme="majorEastAsia"/>
        </w:rPr>
        <w:t>coring factors</w:t>
      </w:r>
    </w:p>
    <w:p w14:paraId="3F226DAC" w14:textId="148A2EA8" w:rsidR="00F318BD" w:rsidRDefault="00F318BD" w:rsidP="00F318BD">
      <w:pPr>
        <w:pStyle w:val="ListParagraph"/>
        <w:widowControl w:val="0"/>
        <w:numPr>
          <w:ilvl w:val="0"/>
          <w:numId w:val="31"/>
        </w:numPr>
        <w:suppressAutoHyphens/>
        <w:spacing w:after="0" w:line="240" w:lineRule="auto"/>
        <w:rPr>
          <w:rStyle w:val="ui-provider"/>
          <w:rFonts w:eastAsiaTheme="majorEastAsia"/>
        </w:rPr>
      </w:pPr>
      <w:r>
        <w:rPr>
          <w:rStyle w:val="ui-provider"/>
          <w:rFonts w:eastAsiaTheme="majorEastAsia"/>
        </w:rPr>
        <w:t>C</w:t>
      </w:r>
      <w:r w:rsidR="00B4334B" w:rsidRPr="00F318BD">
        <w:rPr>
          <w:rStyle w:val="ui-provider"/>
          <w:rFonts w:eastAsiaTheme="majorEastAsia"/>
        </w:rPr>
        <w:t>apacity</w:t>
      </w:r>
    </w:p>
    <w:p w14:paraId="3D066AB4" w14:textId="142CA6C5" w:rsidR="00F318BD" w:rsidRDefault="00F318BD" w:rsidP="00F318BD">
      <w:pPr>
        <w:pStyle w:val="ListParagraph"/>
        <w:widowControl w:val="0"/>
        <w:numPr>
          <w:ilvl w:val="0"/>
          <w:numId w:val="31"/>
        </w:numPr>
        <w:suppressAutoHyphens/>
        <w:spacing w:after="0" w:line="240" w:lineRule="auto"/>
        <w:rPr>
          <w:rStyle w:val="ui-provider"/>
          <w:rFonts w:eastAsiaTheme="majorEastAsia"/>
        </w:rPr>
      </w:pPr>
      <w:r>
        <w:rPr>
          <w:rStyle w:val="ui-provider"/>
          <w:rFonts w:eastAsiaTheme="majorEastAsia"/>
        </w:rPr>
        <w:t>C</w:t>
      </w:r>
      <w:r w:rsidR="00B4334B" w:rsidRPr="00F318BD">
        <w:rPr>
          <w:rStyle w:val="ui-provider"/>
          <w:rFonts w:eastAsiaTheme="majorEastAsia"/>
        </w:rPr>
        <w:t>ommunity and geographic coverage</w:t>
      </w:r>
    </w:p>
    <w:p w14:paraId="0D726C09" w14:textId="10068ED7" w:rsidR="00F318BD" w:rsidRDefault="00F318BD" w:rsidP="00F318BD">
      <w:pPr>
        <w:pStyle w:val="ListParagraph"/>
        <w:widowControl w:val="0"/>
        <w:numPr>
          <w:ilvl w:val="0"/>
          <w:numId w:val="31"/>
        </w:numPr>
        <w:suppressAutoHyphens/>
        <w:spacing w:after="0" w:line="240" w:lineRule="auto"/>
        <w:rPr>
          <w:rStyle w:val="ui-provider"/>
          <w:rFonts w:eastAsiaTheme="majorEastAsia"/>
        </w:rPr>
      </w:pPr>
      <w:r>
        <w:rPr>
          <w:rStyle w:val="ui-provider"/>
          <w:rFonts w:eastAsiaTheme="majorEastAsia"/>
        </w:rPr>
        <w:t>A</w:t>
      </w:r>
      <w:r w:rsidR="006C55BF" w:rsidRPr="00F318BD">
        <w:rPr>
          <w:rStyle w:val="ui-provider"/>
          <w:rFonts w:eastAsiaTheme="majorEastAsia"/>
        </w:rPr>
        <w:t>lignment with funding priorities</w:t>
      </w:r>
    </w:p>
    <w:p w14:paraId="70A71825" w14:textId="66A27537" w:rsidR="00F318BD" w:rsidRDefault="00F318BD" w:rsidP="00F318BD">
      <w:pPr>
        <w:pStyle w:val="ListParagraph"/>
        <w:widowControl w:val="0"/>
        <w:numPr>
          <w:ilvl w:val="0"/>
          <w:numId w:val="31"/>
        </w:numPr>
        <w:suppressAutoHyphens/>
        <w:spacing w:after="0" w:line="240" w:lineRule="auto"/>
        <w:rPr>
          <w:rStyle w:val="ui-provider"/>
          <w:rFonts w:eastAsiaTheme="majorEastAsia"/>
        </w:rPr>
      </w:pPr>
      <w:r>
        <w:rPr>
          <w:rStyle w:val="ui-provider"/>
          <w:rFonts w:eastAsiaTheme="majorEastAsia"/>
        </w:rPr>
        <w:t>F</w:t>
      </w:r>
      <w:r w:rsidR="006C55BF" w:rsidRPr="00F318BD">
        <w:rPr>
          <w:rStyle w:val="ui-provider"/>
          <w:rFonts w:eastAsiaTheme="majorEastAsia"/>
        </w:rPr>
        <w:t>unding availability</w:t>
      </w:r>
    </w:p>
    <w:p w14:paraId="6D34F571" w14:textId="68E00BE7" w:rsidR="00F318BD" w:rsidRPr="009A1A27" w:rsidRDefault="00F318BD" w:rsidP="00F318BD">
      <w:pPr>
        <w:pStyle w:val="ListParagraph"/>
        <w:widowControl w:val="0"/>
        <w:numPr>
          <w:ilvl w:val="0"/>
          <w:numId w:val="31"/>
        </w:numPr>
        <w:suppressAutoHyphens/>
        <w:spacing w:after="0" w:line="240" w:lineRule="auto"/>
        <w:rPr>
          <w:rFonts w:eastAsiaTheme="majorEastAsia"/>
        </w:rPr>
      </w:pPr>
      <w:r>
        <w:rPr>
          <w:rStyle w:val="ui-provider"/>
          <w:rFonts w:eastAsiaTheme="majorEastAsia"/>
        </w:rPr>
        <w:t>P</w:t>
      </w:r>
      <w:r w:rsidR="006C55BF" w:rsidRPr="00F318BD">
        <w:rPr>
          <w:rStyle w:val="ui-provider"/>
          <w:rFonts w:eastAsiaTheme="majorEastAsia"/>
        </w:rPr>
        <w:t xml:space="preserve">assing the </w:t>
      </w:r>
      <w:r>
        <w:rPr>
          <w:rStyle w:val="ui-provider"/>
          <w:rFonts w:eastAsiaTheme="majorEastAsia"/>
        </w:rPr>
        <w:t>P</w:t>
      </w:r>
      <w:r w:rsidR="006C55BF" w:rsidRPr="00F318BD">
        <w:rPr>
          <w:rStyle w:val="ui-provider"/>
          <w:rFonts w:eastAsiaTheme="majorEastAsia"/>
        </w:rPr>
        <w:t>re-</w:t>
      </w:r>
      <w:r>
        <w:rPr>
          <w:rStyle w:val="ui-provider"/>
          <w:rFonts w:eastAsiaTheme="majorEastAsia"/>
        </w:rPr>
        <w:t>A</w:t>
      </w:r>
      <w:r w:rsidR="006C55BF" w:rsidRPr="00F318BD">
        <w:rPr>
          <w:rStyle w:val="ui-provider"/>
          <w:rFonts w:eastAsiaTheme="majorEastAsia"/>
        </w:rPr>
        <w:t xml:space="preserve">ward </w:t>
      </w:r>
      <w:r>
        <w:rPr>
          <w:rStyle w:val="ui-provider"/>
          <w:rFonts w:eastAsiaTheme="majorEastAsia"/>
        </w:rPr>
        <w:t>R</w:t>
      </w:r>
      <w:r w:rsidR="006C55BF" w:rsidRPr="00F318BD">
        <w:rPr>
          <w:rStyle w:val="ui-provider"/>
          <w:rFonts w:eastAsiaTheme="majorEastAsia"/>
        </w:rPr>
        <w:t xml:space="preserve">isk </w:t>
      </w:r>
      <w:r>
        <w:rPr>
          <w:rStyle w:val="ui-provider"/>
          <w:rFonts w:eastAsiaTheme="majorEastAsia"/>
        </w:rPr>
        <w:t>A</w:t>
      </w:r>
      <w:r w:rsidR="006C55BF" w:rsidRPr="00F318BD">
        <w:rPr>
          <w:rStyle w:val="ui-provider"/>
          <w:rFonts w:eastAsiaTheme="majorEastAsia"/>
        </w:rPr>
        <w:t>ssessment</w:t>
      </w:r>
    </w:p>
    <w:p w14:paraId="6CA51FEE" w14:textId="0F05D123" w:rsidR="00B4334B" w:rsidRPr="00F318BD" w:rsidRDefault="00B4334B" w:rsidP="009A1A27">
      <w:pPr>
        <w:widowControl w:val="0"/>
        <w:suppressAutoHyphens/>
        <w:spacing w:after="0" w:line="240" w:lineRule="auto"/>
        <w:rPr>
          <w:rStyle w:val="ui-provider"/>
          <w:rFonts w:eastAsiaTheme="majorEastAsia"/>
        </w:rPr>
      </w:pPr>
      <w:r w:rsidRPr="00F318BD">
        <w:rPr>
          <w:rStyle w:val="ui-provider"/>
          <w:rFonts w:eastAsiaTheme="majorEastAsia"/>
        </w:rPr>
        <w:t>Minnesota Housing reserves the right to adjust award sizes and total amounts allocated at its sole discretion.</w:t>
      </w:r>
    </w:p>
    <w:p w14:paraId="098A4F89" w14:textId="77777777" w:rsidR="00F318BD" w:rsidRDefault="00F318BD" w:rsidP="0036265D">
      <w:pPr>
        <w:widowControl w:val="0"/>
        <w:suppressAutoHyphens/>
        <w:spacing w:after="0" w:line="240" w:lineRule="auto"/>
        <w:contextualSpacing/>
        <w:rPr>
          <w:rStyle w:val="ui-provider"/>
          <w:rFonts w:eastAsiaTheme="majorEastAsia"/>
        </w:rPr>
      </w:pPr>
    </w:p>
    <w:p w14:paraId="0E61E6DC" w14:textId="060EEF61" w:rsidR="00D64206" w:rsidRDefault="006C55BF" w:rsidP="000C5538">
      <w:pPr>
        <w:widowControl w:val="0"/>
        <w:suppressAutoHyphens/>
        <w:spacing w:after="0" w:line="240" w:lineRule="auto"/>
        <w:contextualSpacing/>
        <w:rPr>
          <w:rStyle w:val="ui-provider"/>
          <w:b/>
        </w:rPr>
      </w:pPr>
      <w:r>
        <w:rPr>
          <w:rStyle w:val="ui-provider"/>
          <w:rFonts w:eastAsiaTheme="majorEastAsia"/>
        </w:rPr>
        <w:t>Final r</w:t>
      </w:r>
      <w:r w:rsidR="000635AA">
        <w:rPr>
          <w:rStyle w:val="ui-provider"/>
          <w:rFonts w:eastAsiaTheme="majorEastAsia"/>
        </w:rPr>
        <w:t>ecommendations will be presented to the Minnesota Housing Board of Directors for approval. Minnesota Housing’s award decisions are final and not subject to appeal.</w:t>
      </w:r>
      <w:r w:rsidR="001C0FD2">
        <w:rPr>
          <w:rStyle w:val="ui-provider"/>
        </w:rPr>
        <w:t xml:space="preserve"> </w:t>
      </w:r>
      <w:r w:rsidR="000635AA" w:rsidRPr="00301E9E">
        <w:rPr>
          <w:rStyle w:val="ui-provider"/>
        </w:rPr>
        <w:t>Additionally, Minnesota Housing reserves the right to request application revisions during the due diligence phase, which is after Minnesota Housing board approval but before the Contract Agreement is executed.</w:t>
      </w:r>
      <w:bookmarkStart w:id="27" w:name="_Toc162441877"/>
    </w:p>
    <w:p w14:paraId="22892C70" w14:textId="55CEADE4" w:rsidR="00FA5E91" w:rsidRPr="00905E8F" w:rsidRDefault="005869C0" w:rsidP="00D02305">
      <w:pPr>
        <w:pStyle w:val="Heading3"/>
      </w:pPr>
      <w:bookmarkStart w:id="28" w:name="_Toc188863861"/>
      <w:r>
        <w:t>G</w:t>
      </w:r>
      <w:r w:rsidR="000A324B">
        <w:t>.</w:t>
      </w:r>
      <w:r>
        <w:t xml:space="preserve">1 </w:t>
      </w:r>
      <w:r w:rsidR="00FA5E91" w:rsidRPr="00905E8F">
        <w:t>Threshold Criteria</w:t>
      </w:r>
      <w:bookmarkEnd w:id="27"/>
      <w:bookmarkEnd w:id="28"/>
    </w:p>
    <w:p w14:paraId="40FC6C7C" w14:textId="325858FA" w:rsidR="0036265D" w:rsidRPr="00E570C1" w:rsidRDefault="00273962" w:rsidP="0036265D">
      <w:pPr>
        <w:widowControl w:val="0"/>
        <w:suppressAutoHyphens/>
        <w:spacing w:after="0" w:line="240" w:lineRule="auto"/>
        <w:contextualSpacing/>
        <w:rPr>
          <w:rFonts w:cs="Calibri"/>
          <w:b/>
          <w:szCs w:val="24"/>
        </w:rPr>
      </w:pPr>
      <w:r>
        <w:rPr>
          <w:rFonts w:cs="Calibri"/>
          <w:bCs/>
          <w:szCs w:val="24"/>
        </w:rPr>
        <w:t xml:space="preserve">Threshold criteria are the basic requirements an application must meet </w:t>
      </w:r>
      <w:r w:rsidR="00605CE7">
        <w:rPr>
          <w:rFonts w:cs="Calibri"/>
          <w:bCs/>
          <w:szCs w:val="24"/>
        </w:rPr>
        <w:t>to</w:t>
      </w:r>
      <w:r>
        <w:rPr>
          <w:rFonts w:cs="Calibri"/>
          <w:bCs/>
          <w:szCs w:val="24"/>
        </w:rPr>
        <w:t xml:space="preserve"> be considered for funding. </w:t>
      </w:r>
      <w:r w:rsidR="00AE038C" w:rsidRPr="00AE038C">
        <w:rPr>
          <w:rFonts w:cs="Calibri"/>
          <w:bCs/>
          <w:szCs w:val="24"/>
        </w:rPr>
        <w:t xml:space="preserve">The following </w:t>
      </w:r>
      <w:r w:rsidR="00AE038C" w:rsidRPr="00AE038C">
        <w:rPr>
          <w:rFonts w:cs="Calibri"/>
          <w:b/>
          <w:szCs w:val="24"/>
        </w:rPr>
        <w:t>threshold criteria</w:t>
      </w:r>
      <w:r w:rsidR="0047087C">
        <w:rPr>
          <w:rFonts w:cs="Calibri"/>
          <w:b/>
          <w:szCs w:val="24"/>
        </w:rPr>
        <w:t xml:space="preserve"> </w:t>
      </w:r>
      <w:r w:rsidR="00AE038C" w:rsidRPr="00AE038C">
        <w:rPr>
          <w:rFonts w:cs="Calibri"/>
          <w:bCs/>
          <w:szCs w:val="24"/>
        </w:rPr>
        <w:t xml:space="preserve">must be </w:t>
      </w:r>
      <w:r w:rsidR="00AE038C" w:rsidRPr="00704EE7">
        <w:rPr>
          <w:rFonts w:cs="Calibri"/>
          <w:bCs/>
          <w:szCs w:val="24"/>
        </w:rPr>
        <w:t>satisfied for an application to be considered:</w:t>
      </w:r>
    </w:p>
    <w:p w14:paraId="2EDAB1A1" w14:textId="77777777" w:rsidR="0036265D" w:rsidRPr="00E570C1" w:rsidRDefault="0036265D" w:rsidP="0036265D">
      <w:pPr>
        <w:widowControl w:val="0"/>
        <w:suppressAutoHyphens/>
        <w:spacing w:after="0" w:line="240" w:lineRule="auto"/>
        <w:contextualSpacing/>
        <w:rPr>
          <w:rFonts w:cs="Calibri"/>
          <w:szCs w:val="24"/>
        </w:rPr>
      </w:pPr>
    </w:p>
    <w:p w14:paraId="43190D59" w14:textId="5FF76B43" w:rsidR="00657B95" w:rsidRPr="00E570C1" w:rsidRDefault="00657B95" w:rsidP="00657B95">
      <w:pPr>
        <w:pStyle w:val="ListParagraph"/>
        <w:widowControl w:val="0"/>
        <w:numPr>
          <w:ilvl w:val="0"/>
          <w:numId w:val="4"/>
        </w:numPr>
        <w:suppressAutoHyphens/>
        <w:spacing w:before="0" w:after="0" w:line="240" w:lineRule="auto"/>
        <w:rPr>
          <w:rFonts w:cs="Calibri"/>
          <w:szCs w:val="24"/>
        </w:rPr>
      </w:pPr>
      <w:r w:rsidRPr="00E570C1">
        <w:rPr>
          <w:rFonts w:cs="Calibri"/>
          <w:szCs w:val="24"/>
        </w:rPr>
        <w:t xml:space="preserve">The </w:t>
      </w:r>
      <w:r w:rsidR="0068361B">
        <w:rPr>
          <w:rFonts w:cs="Calibri"/>
          <w:szCs w:val="24"/>
        </w:rPr>
        <w:t>A</w:t>
      </w:r>
      <w:r>
        <w:rPr>
          <w:rFonts w:cs="Calibri"/>
          <w:szCs w:val="24"/>
        </w:rPr>
        <w:t>pplicant must be</w:t>
      </w:r>
      <w:r w:rsidR="007D0FFC">
        <w:rPr>
          <w:rFonts w:cs="Calibri"/>
          <w:szCs w:val="24"/>
        </w:rPr>
        <w:t xml:space="preserve"> </w:t>
      </w:r>
      <w:r>
        <w:rPr>
          <w:rFonts w:cs="Calibri"/>
          <w:szCs w:val="24"/>
        </w:rPr>
        <w:t>eligible as defined in the Eligible Applicants section</w:t>
      </w:r>
      <w:r w:rsidR="00605CE7">
        <w:rPr>
          <w:rFonts w:cs="Calibri"/>
          <w:szCs w:val="24"/>
        </w:rPr>
        <w:t>;</w:t>
      </w:r>
    </w:p>
    <w:p w14:paraId="3321ED71" w14:textId="682B0669" w:rsidR="00657B95" w:rsidRDefault="00657B95" w:rsidP="00657B95">
      <w:pPr>
        <w:pStyle w:val="ListParagraph"/>
        <w:numPr>
          <w:ilvl w:val="0"/>
          <w:numId w:val="4"/>
        </w:numPr>
      </w:pPr>
      <w:r w:rsidRPr="003269E9">
        <w:t>The application must include all required application checklist items</w:t>
      </w:r>
      <w:r w:rsidR="00605CE7">
        <w:t>;</w:t>
      </w:r>
      <w:r w:rsidRPr="003269E9">
        <w:t xml:space="preserve"> </w:t>
      </w:r>
    </w:p>
    <w:p w14:paraId="379EE749" w14:textId="025A2D17" w:rsidR="00657B95" w:rsidRDefault="00657B95" w:rsidP="00657B95">
      <w:pPr>
        <w:pStyle w:val="ListParagraph"/>
        <w:numPr>
          <w:ilvl w:val="0"/>
          <w:numId w:val="4"/>
        </w:numPr>
      </w:pPr>
      <w:r>
        <w:t xml:space="preserve">The application must be </w:t>
      </w:r>
      <w:r w:rsidRPr="003269E9">
        <w:t>complete</w:t>
      </w:r>
      <w:r>
        <w:t>;</w:t>
      </w:r>
      <w:r w:rsidRPr="003269E9">
        <w:t xml:space="preserve"> and</w:t>
      </w:r>
    </w:p>
    <w:p w14:paraId="661BB030" w14:textId="77777777" w:rsidR="00657B95" w:rsidRDefault="00657B95" w:rsidP="00657B95">
      <w:pPr>
        <w:pStyle w:val="ListParagraph"/>
        <w:numPr>
          <w:ilvl w:val="0"/>
          <w:numId w:val="4"/>
        </w:numPr>
      </w:pPr>
      <w:r>
        <w:t>The application must b</w:t>
      </w:r>
      <w:r w:rsidRPr="00D64206">
        <w:t>e</w:t>
      </w:r>
      <w:r w:rsidRPr="00A02EE3">
        <w:rPr>
          <w:b/>
          <w:bCs/>
        </w:rPr>
        <w:t xml:space="preserve"> </w:t>
      </w:r>
      <w:r w:rsidRPr="003269E9">
        <w:t>submitted by the published deadline via the specified submission method (refer to the Submission Instructions section of this document).</w:t>
      </w:r>
    </w:p>
    <w:p w14:paraId="40CBF297" w14:textId="684C0E57" w:rsidR="00C3109F" w:rsidRPr="00B50019" w:rsidRDefault="00AE038C" w:rsidP="00B50019">
      <w:pPr>
        <w:rPr>
          <w:b/>
          <w:bCs/>
        </w:rPr>
      </w:pPr>
      <w:r w:rsidRPr="00F94F06">
        <w:rPr>
          <w:rStyle w:val="Strong"/>
        </w:rPr>
        <w:t>NOTE:</w:t>
      </w:r>
      <w:r w:rsidRPr="003269E9">
        <w:t xml:space="preserve"> All required application items must be provided either before or no later than the application deadline. </w:t>
      </w:r>
      <w:r w:rsidRPr="00F94F06">
        <w:rPr>
          <w:rStyle w:val="Strong"/>
        </w:rPr>
        <w:t xml:space="preserve">Any application that does not include all required items </w:t>
      </w:r>
      <w:r w:rsidR="005608FD">
        <w:rPr>
          <w:rStyle w:val="Strong"/>
        </w:rPr>
        <w:t xml:space="preserve">will be considered incomplete and </w:t>
      </w:r>
      <w:r w:rsidRPr="00F94F06">
        <w:rPr>
          <w:rStyle w:val="Strong"/>
        </w:rPr>
        <w:t xml:space="preserve">will not be </w:t>
      </w:r>
      <w:r w:rsidR="005869C0">
        <w:rPr>
          <w:rStyle w:val="Strong"/>
        </w:rPr>
        <w:t>reviewed, scored</w:t>
      </w:r>
      <w:r w:rsidR="00605CE7">
        <w:rPr>
          <w:rStyle w:val="Strong"/>
        </w:rPr>
        <w:t>,</w:t>
      </w:r>
      <w:r w:rsidR="005869C0">
        <w:rPr>
          <w:rStyle w:val="Strong"/>
        </w:rPr>
        <w:t xml:space="preserve"> nor </w:t>
      </w:r>
      <w:r w:rsidR="00605CE7">
        <w:rPr>
          <w:rStyle w:val="Strong"/>
        </w:rPr>
        <w:t>considered</w:t>
      </w:r>
      <w:r w:rsidRPr="00F94F06">
        <w:rPr>
          <w:rStyle w:val="Strong"/>
        </w:rPr>
        <w:t xml:space="preserve"> for funding.</w:t>
      </w:r>
    </w:p>
    <w:p w14:paraId="7CC9536A" w14:textId="68C363D9" w:rsidR="00FA5E91" w:rsidRDefault="005869C0" w:rsidP="00F33674">
      <w:pPr>
        <w:pStyle w:val="Heading3"/>
      </w:pPr>
      <w:bookmarkStart w:id="29" w:name="_Toc162441878"/>
      <w:bookmarkStart w:id="30" w:name="_Toc188863862"/>
      <w:r>
        <w:lastRenderedPageBreak/>
        <w:t>G</w:t>
      </w:r>
      <w:r w:rsidR="000A324B">
        <w:t>.</w:t>
      </w:r>
      <w:r>
        <w:t xml:space="preserve">2 </w:t>
      </w:r>
      <w:r w:rsidR="00FA5E91" w:rsidRPr="00FA5E91">
        <w:t>Competitive Criteria</w:t>
      </w:r>
      <w:bookmarkEnd w:id="29"/>
      <w:bookmarkEnd w:id="30"/>
    </w:p>
    <w:p w14:paraId="7D6C4961" w14:textId="58807CA8" w:rsidR="0036265D" w:rsidRPr="00905E8F" w:rsidRDefault="00D87777" w:rsidP="0036265D">
      <w:pPr>
        <w:spacing w:after="0" w:line="240" w:lineRule="auto"/>
        <w:rPr>
          <w:rFonts w:eastAsiaTheme="majorEastAsia"/>
        </w:rPr>
      </w:pPr>
      <w:r>
        <w:rPr>
          <w:rStyle w:val="ui-provider"/>
          <w:rFonts w:eastAsiaTheme="majorEastAsia"/>
        </w:rPr>
        <w:t xml:space="preserve">Minnesota Housing program staff will evaluate </w:t>
      </w:r>
      <w:r w:rsidR="005869C0">
        <w:rPr>
          <w:rStyle w:val="ui-provider"/>
          <w:rFonts w:eastAsiaTheme="majorEastAsia"/>
        </w:rPr>
        <w:t xml:space="preserve">and </w:t>
      </w:r>
      <w:r>
        <w:rPr>
          <w:rStyle w:val="ui-provider"/>
          <w:rFonts w:eastAsiaTheme="majorEastAsia"/>
        </w:rPr>
        <w:t xml:space="preserve">score applications </w:t>
      </w:r>
      <w:r w:rsidR="002528CB">
        <w:rPr>
          <w:rStyle w:val="ui-provider"/>
          <w:rFonts w:eastAsiaTheme="majorEastAsia"/>
        </w:rPr>
        <w:t xml:space="preserve">that </w:t>
      </w:r>
      <w:r w:rsidR="009A1A27">
        <w:rPr>
          <w:rStyle w:val="ui-provider"/>
          <w:rFonts w:eastAsiaTheme="majorEastAsia"/>
        </w:rPr>
        <w:t>are complete.</w:t>
      </w:r>
      <w:r w:rsidR="00CE0B95">
        <w:rPr>
          <w:rStyle w:val="ui-provider"/>
          <w:rFonts w:eastAsiaTheme="majorEastAsia"/>
        </w:rPr>
        <w:t xml:space="preserve"> </w:t>
      </w:r>
      <w:r w:rsidR="00A87ADF">
        <w:rPr>
          <w:rStyle w:val="ui-provider"/>
          <w:rFonts w:eastAsiaTheme="majorEastAsia"/>
        </w:rPr>
        <w:t>Each activity an Applicant applies for will be scored separately</w:t>
      </w:r>
      <w:r w:rsidR="002528CB">
        <w:rPr>
          <w:rStyle w:val="ui-provider"/>
          <w:rFonts w:eastAsiaTheme="majorEastAsia"/>
        </w:rPr>
        <w:t xml:space="preserve"> </w:t>
      </w:r>
      <w:r>
        <w:rPr>
          <w:rStyle w:val="ui-provider"/>
          <w:rFonts w:eastAsiaTheme="majorEastAsia"/>
        </w:rPr>
        <w:t xml:space="preserve">on a scale of </w:t>
      </w:r>
      <w:r w:rsidRPr="00905E8F">
        <w:rPr>
          <w:rStyle w:val="ui-provider"/>
          <w:rFonts w:eastAsiaTheme="majorEastAsia"/>
        </w:rPr>
        <w:t xml:space="preserve">zero to </w:t>
      </w:r>
      <w:r w:rsidR="005869C0">
        <w:rPr>
          <w:rStyle w:val="ui-provider"/>
          <w:rFonts w:eastAsiaTheme="majorEastAsia"/>
        </w:rPr>
        <w:t xml:space="preserve">three (0-3) </w:t>
      </w:r>
      <w:r>
        <w:rPr>
          <w:rStyle w:val="ui-provider"/>
          <w:rFonts w:eastAsiaTheme="majorEastAsia"/>
        </w:rPr>
        <w:t xml:space="preserve">points </w:t>
      </w:r>
      <w:r w:rsidR="009A1A27">
        <w:rPr>
          <w:rStyle w:val="ui-provider"/>
          <w:rFonts w:eastAsiaTheme="majorEastAsia"/>
        </w:rPr>
        <w:t>for each of the following areas: Overall Proposal and Strategy to Maximize Impact, Organizational Capacity, Equity/Diversity, Populations and Homebuyers to be Served</w:t>
      </w:r>
      <w:r w:rsidR="009B1A65">
        <w:rPr>
          <w:rStyle w:val="ui-provider"/>
          <w:rFonts w:eastAsiaTheme="majorEastAsia"/>
        </w:rPr>
        <w:t>, Service/Target Area, and Budget</w:t>
      </w:r>
      <w:r w:rsidR="00A02EE3">
        <w:rPr>
          <w:rStyle w:val="ui-provider"/>
          <w:rFonts w:eastAsiaTheme="majorEastAsia"/>
        </w:rPr>
        <w:t>,</w:t>
      </w:r>
      <w:r w:rsidR="00CE0B95">
        <w:rPr>
          <w:rStyle w:val="ui-provider"/>
          <w:rFonts w:eastAsiaTheme="majorEastAsia"/>
        </w:rPr>
        <w:t xml:space="preserve"> </w:t>
      </w:r>
      <w:r w:rsidR="002528CB">
        <w:rPr>
          <w:rStyle w:val="ui-provider"/>
          <w:rFonts w:eastAsiaTheme="majorEastAsia"/>
        </w:rPr>
        <w:t xml:space="preserve">as </w:t>
      </w:r>
      <w:r>
        <w:rPr>
          <w:rStyle w:val="ui-provider"/>
          <w:rFonts w:eastAsiaTheme="majorEastAsia"/>
        </w:rPr>
        <w:t xml:space="preserve">described below for a combined total of </w:t>
      </w:r>
      <w:r w:rsidR="009B1A65">
        <w:rPr>
          <w:rStyle w:val="ui-provider"/>
          <w:rFonts w:eastAsiaTheme="majorEastAsia"/>
        </w:rPr>
        <w:t>18</w:t>
      </w:r>
      <w:r w:rsidR="005869C0">
        <w:rPr>
          <w:rStyle w:val="ui-provider"/>
          <w:rFonts w:eastAsiaTheme="majorEastAsia"/>
        </w:rPr>
        <w:t xml:space="preserve"> </w:t>
      </w:r>
      <w:r>
        <w:rPr>
          <w:rStyle w:val="ui-provider"/>
          <w:rFonts w:eastAsiaTheme="majorEastAsia"/>
        </w:rPr>
        <w:t>possible points.</w:t>
      </w:r>
    </w:p>
    <w:p w14:paraId="3E480E84" w14:textId="687D1384" w:rsidR="0036265D" w:rsidRPr="00687162" w:rsidRDefault="008F22FE" w:rsidP="008F22FE">
      <w:pPr>
        <w:pStyle w:val="Caption"/>
        <w:rPr>
          <w:szCs w:val="24"/>
        </w:rPr>
      </w:pPr>
      <w:r w:rsidRPr="00687162">
        <w:t xml:space="preserve">Table </w:t>
      </w:r>
      <w:r w:rsidR="009E76E7" w:rsidRPr="00687162">
        <w:fldChar w:fldCharType="begin"/>
      </w:r>
      <w:r w:rsidR="009E76E7" w:rsidRPr="00687162">
        <w:instrText xml:space="preserve"> SEQ Table \* ARABIC </w:instrText>
      </w:r>
      <w:r w:rsidR="009E76E7" w:rsidRPr="00687162">
        <w:fldChar w:fldCharType="separate"/>
      </w:r>
      <w:r w:rsidR="006E6318" w:rsidRPr="00687162">
        <w:rPr>
          <w:noProof/>
        </w:rPr>
        <w:t>1</w:t>
      </w:r>
      <w:r w:rsidR="009E76E7" w:rsidRPr="00687162">
        <w:rPr>
          <w:noProof/>
        </w:rPr>
        <w:fldChar w:fldCharType="end"/>
      </w:r>
      <w:r w:rsidRPr="00687162">
        <w:t xml:space="preserve">: </w:t>
      </w:r>
      <w:r w:rsidR="005869C0" w:rsidRPr="00687162">
        <w:t xml:space="preserve">Competitive Scoring </w:t>
      </w:r>
    </w:p>
    <w:tbl>
      <w:tblPr>
        <w:tblStyle w:val="TableGrid"/>
        <w:tblW w:w="0" w:type="auto"/>
        <w:tblLook w:val="04A0" w:firstRow="1" w:lastRow="0" w:firstColumn="1" w:lastColumn="0" w:noHBand="0" w:noVBand="1"/>
      </w:tblPr>
      <w:tblGrid>
        <w:gridCol w:w="2940"/>
        <w:gridCol w:w="4345"/>
        <w:gridCol w:w="2065"/>
      </w:tblGrid>
      <w:tr w:rsidR="0036265D" w:rsidRPr="00E570C1" w14:paraId="1C3E2711" w14:textId="77777777" w:rsidTr="001A5587">
        <w:trPr>
          <w:trHeight w:val="557"/>
        </w:trPr>
        <w:tc>
          <w:tcPr>
            <w:tcW w:w="2940" w:type="dxa"/>
            <w:shd w:val="clear" w:color="auto" w:fill="D9D9D9" w:themeFill="background1" w:themeFillShade="D9"/>
          </w:tcPr>
          <w:p w14:paraId="6D61B697" w14:textId="77777777" w:rsidR="0036265D" w:rsidRPr="00E570C1" w:rsidRDefault="0036265D" w:rsidP="008F72E7">
            <w:pPr>
              <w:jc w:val="center"/>
              <w:rPr>
                <w:rFonts w:asciiTheme="minorHAnsi" w:hAnsiTheme="minorHAnsi"/>
                <w:b/>
                <w:szCs w:val="24"/>
              </w:rPr>
            </w:pPr>
            <w:r w:rsidRPr="00E570C1">
              <w:rPr>
                <w:rFonts w:asciiTheme="minorHAnsi" w:hAnsiTheme="minorHAnsi"/>
                <w:b/>
                <w:szCs w:val="24"/>
              </w:rPr>
              <w:t>Category</w:t>
            </w:r>
          </w:p>
        </w:tc>
        <w:tc>
          <w:tcPr>
            <w:tcW w:w="4345" w:type="dxa"/>
            <w:shd w:val="clear" w:color="auto" w:fill="D9D9D9" w:themeFill="background1" w:themeFillShade="D9"/>
          </w:tcPr>
          <w:p w14:paraId="58A6BA7C" w14:textId="77777777" w:rsidR="0036265D" w:rsidRPr="00E570C1" w:rsidRDefault="0036265D" w:rsidP="008F72E7">
            <w:pPr>
              <w:jc w:val="center"/>
              <w:rPr>
                <w:rFonts w:asciiTheme="minorHAnsi" w:hAnsiTheme="minorHAnsi"/>
                <w:b/>
                <w:szCs w:val="24"/>
              </w:rPr>
            </w:pPr>
            <w:r w:rsidRPr="00E570C1">
              <w:rPr>
                <w:rFonts w:asciiTheme="minorHAnsi" w:hAnsiTheme="minorHAnsi"/>
                <w:b/>
                <w:szCs w:val="24"/>
              </w:rPr>
              <w:t>Criteria</w:t>
            </w:r>
          </w:p>
        </w:tc>
        <w:tc>
          <w:tcPr>
            <w:tcW w:w="2065" w:type="dxa"/>
            <w:shd w:val="clear" w:color="auto" w:fill="D9D9D9" w:themeFill="background1" w:themeFillShade="D9"/>
          </w:tcPr>
          <w:p w14:paraId="0F4D1C2A" w14:textId="77777777" w:rsidR="0036265D" w:rsidRPr="00E570C1" w:rsidRDefault="0036265D" w:rsidP="008F72E7">
            <w:pPr>
              <w:jc w:val="center"/>
              <w:rPr>
                <w:b/>
                <w:szCs w:val="24"/>
              </w:rPr>
            </w:pPr>
            <w:r w:rsidRPr="00E570C1">
              <w:rPr>
                <w:rFonts w:asciiTheme="minorHAnsi" w:hAnsiTheme="minorHAnsi"/>
                <w:b/>
                <w:szCs w:val="24"/>
              </w:rPr>
              <w:t>Maximum Score</w:t>
            </w:r>
          </w:p>
        </w:tc>
      </w:tr>
      <w:tr w:rsidR="009B1A65" w:rsidRPr="00E570C1" w14:paraId="435037E6" w14:textId="77777777" w:rsidTr="001A5587">
        <w:tc>
          <w:tcPr>
            <w:tcW w:w="2940" w:type="dxa"/>
          </w:tcPr>
          <w:p w14:paraId="01D65DF6" w14:textId="281F3B61" w:rsidR="009B1A65" w:rsidRPr="00905E8F" w:rsidRDefault="009B1A65" w:rsidP="008F72E7">
            <w:pPr>
              <w:rPr>
                <w:rFonts w:asciiTheme="minorHAnsi" w:hAnsiTheme="minorHAnsi"/>
                <w:szCs w:val="24"/>
              </w:rPr>
            </w:pPr>
            <w:r>
              <w:rPr>
                <w:rFonts w:asciiTheme="minorHAnsi" w:hAnsiTheme="minorHAnsi"/>
                <w:szCs w:val="24"/>
              </w:rPr>
              <w:t>Overall Proposal and Strategy to Maximize Impact</w:t>
            </w:r>
          </w:p>
        </w:tc>
        <w:tc>
          <w:tcPr>
            <w:tcW w:w="4345" w:type="dxa"/>
          </w:tcPr>
          <w:p w14:paraId="17DF6276" w14:textId="0DFF02AD" w:rsidR="009B1A65" w:rsidRPr="004F1327" w:rsidRDefault="001C504F" w:rsidP="008F72E7">
            <w:pPr>
              <w:rPr>
                <w:rFonts w:asciiTheme="minorHAnsi" w:hAnsiTheme="minorHAnsi"/>
                <w:szCs w:val="24"/>
              </w:rPr>
            </w:pPr>
            <w:r w:rsidRPr="004F1327">
              <w:rPr>
                <w:rFonts w:asciiTheme="minorHAnsi" w:hAnsiTheme="minorHAnsi"/>
                <w:szCs w:val="24"/>
              </w:rPr>
              <w:t xml:space="preserve">Overall, the application will result in expansion of affordable homeownership through </w:t>
            </w:r>
            <w:r w:rsidR="007220E5">
              <w:rPr>
                <w:rFonts w:asciiTheme="minorHAnsi" w:hAnsiTheme="minorHAnsi"/>
                <w:szCs w:val="24"/>
              </w:rPr>
              <w:t>one</w:t>
            </w:r>
            <w:r w:rsidR="007220E5" w:rsidRPr="004F1327">
              <w:rPr>
                <w:rFonts w:asciiTheme="minorHAnsi" w:hAnsiTheme="minorHAnsi"/>
                <w:szCs w:val="24"/>
              </w:rPr>
              <w:t xml:space="preserve"> </w:t>
            </w:r>
            <w:r w:rsidRPr="004F1327">
              <w:rPr>
                <w:rFonts w:asciiTheme="minorHAnsi" w:hAnsiTheme="minorHAnsi"/>
                <w:szCs w:val="24"/>
              </w:rPr>
              <w:t>or more eligible activiti</w:t>
            </w:r>
            <w:r>
              <w:rPr>
                <w:rFonts w:asciiTheme="minorHAnsi" w:hAnsiTheme="minorHAnsi"/>
                <w:szCs w:val="24"/>
              </w:rPr>
              <w:t>e</w:t>
            </w:r>
            <w:r w:rsidRPr="004F1327">
              <w:rPr>
                <w:rFonts w:asciiTheme="minorHAnsi" w:hAnsiTheme="minorHAnsi"/>
                <w:szCs w:val="24"/>
              </w:rPr>
              <w:t>s, resulting in an increase in the supply of affordable owner-occupied homes</w:t>
            </w:r>
            <w:r w:rsidR="00143E56">
              <w:rPr>
                <w:rFonts w:asciiTheme="minorHAnsi" w:hAnsiTheme="minorHAnsi"/>
                <w:szCs w:val="24"/>
              </w:rPr>
              <w:t>.</w:t>
            </w:r>
            <w:r w:rsidRPr="004F1327">
              <w:rPr>
                <w:rFonts w:asciiTheme="minorHAnsi" w:hAnsiTheme="minorHAnsi"/>
                <w:szCs w:val="24"/>
              </w:rPr>
              <w:t xml:space="preserve"> </w:t>
            </w:r>
            <w:r w:rsidR="00143E56">
              <w:rPr>
                <w:rFonts w:asciiTheme="minorHAnsi" w:hAnsiTheme="minorHAnsi"/>
                <w:szCs w:val="24"/>
              </w:rPr>
              <w:t xml:space="preserve">The proposal </w:t>
            </w:r>
            <w:r w:rsidRPr="004F1327">
              <w:rPr>
                <w:rFonts w:asciiTheme="minorHAnsi" w:hAnsiTheme="minorHAnsi"/>
                <w:szCs w:val="24"/>
              </w:rPr>
              <w:t xml:space="preserve">will create programs that help finance affordable new home construction </w:t>
            </w:r>
            <w:r w:rsidR="00143E56">
              <w:rPr>
                <w:rFonts w:asciiTheme="minorHAnsi" w:hAnsiTheme="minorHAnsi"/>
                <w:szCs w:val="24"/>
              </w:rPr>
              <w:t xml:space="preserve">and </w:t>
            </w:r>
            <w:r w:rsidRPr="004F1327">
              <w:rPr>
                <w:rFonts w:asciiTheme="minorHAnsi" w:hAnsiTheme="minorHAnsi"/>
                <w:szCs w:val="24"/>
              </w:rPr>
              <w:t>significant</w:t>
            </w:r>
            <w:r w:rsidR="00143E56">
              <w:rPr>
                <w:rFonts w:asciiTheme="minorHAnsi" w:hAnsiTheme="minorHAnsi"/>
                <w:szCs w:val="24"/>
              </w:rPr>
              <w:t>ly increase</w:t>
            </w:r>
            <w:r w:rsidRPr="004F1327">
              <w:rPr>
                <w:rFonts w:asciiTheme="minorHAnsi" w:hAnsiTheme="minorHAnsi"/>
                <w:szCs w:val="24"/>
              </w:rPr>
              <w:t xml:space="preserve"> </w:t>
            </w:r>
            <w:r w:rsidR="00143E56">
              <w:rPr>
                <w:rFonts w:asciiTheme="minorHAnsi" w:hAnsiTheme="minorHAnsi"/>
                <w:szCs w:val="24"/>
              </w:rPr>
              <w:t xml:space="preserve">the supply of </w:t>
            </w:r>
            <w:r w:rsidRPr="004F1327">
              <w:rPr>
                <w:rFonts w:asciiTheme="minorHAnsi" w:hAnsiTheme="minorHAnsi"/>
                <w:szCs w:val="24"/>
              </w:rPr>
              <w:t>affordable home</w:t>
            </w:r>
            <w:r w:rsidR="00143E56">
              <w:rPr>
                <w:rFonts w:asciiTheme="minorHAnsi" w:hAnsiTheme="minorHAnsi"/>
                <w:szCs w:val="24"/>
              </w:rPr>
              <w:t>s</w:t>
            </w:r>
            <w:r w:rsidRPr="004F1327">
              <w:rPr>
                <w:rFonts w:asciiTheme="minorHAnsi" w:hAnsiTheme="minorHAnsi"/>
                <w:szCs w:val="24"/>
              </w:rPr>
              <w:t xml:space="preserve"> through efficienc</w:t>
            </w:r>
            <w:r>
              <w:rPr>
                <w:rFonts w:asciiTheme="minorHAnsi" w:hAnsiTheme="minorHAnsi"/>
                <w:szCs w:val="24"/>
              </w:rPr>
              <w:t>i</w:t>
            </w:r>
            <w:r w:rsidRPr="004F1327">
              <w:rPr>
                <w:rFonts w:asciiTheme="minorHAnsi" w:hAnsiTheme="minorHAnsi"/>
                <w:szCs w:val="24"/>
              </w:rPr>
              <w:t>es of scale, delivery leverage, provision of low-cost capital, and/or revolving of funds to leverage state investment.</w:t>
            </w:r>
            <w:r>
              <w:rPr>
                <w:rFonts w:asciiTheme="minorHAnsi" w:hAnsiTheme="minorHAnsi"/>
                <w:szCs w:val="24"/>
              </w:rPr>
              <w:t xml:space="preserve"> </w:t>
            </w:r>
          </w:p>
        </w:tc>
        <w:tc>
          <w:tcPr>
            <w:tcW w:w="2065" w:type="dxa"/>
          </w:tcPr>
          <w:p w14:paraId="6FD11645" w14:textId="117FD61E" w:rsidR="009B1A65" w:rsidRDefault="00830395" w:rsidP="008F72E7">
            <w:pPr>
              <w:rPr>
                <w:szCs w:val="24"/>
              </w:rPr>
            </w:pPr>
            <w:r>
              <w:rPr>
                <w:szCs w:val="24"/>
              </w:rPr>
              <w:t>3 points</w:t>
            </w:r>
          </w:p>
        </w:tc>
      </w:tr>
      <w:tr w:rsidR="0036265D" w:rsidRPr="00E570C1" w14:paraId="42FD9D1A" w14:textId="77777777" w:rsidTr="001A5587">
        <w:tc>
          <w:tcPr>
            <w:tcW w:w="2940" w:type="dxa"/>
          </w:tcPr>
          <w:p w14:paraId="176D664F" w14:textId="3E6ECCBB" w:rsidR="0036265D" w:rsidRPr="00905E8F" w:rsidRDefault="004620E0" w:rsidP="008F72E7">
            <w:pPr>
              <w:rPr>
                <w:rFonts w:asciiTheme="minorHAnsi" w:hAnsiTheme="minorHAnsi"/>
                <w:szCs w:val="24"/>
              </w:rPr>
            </w:pPr>
            <w:r w:rsidRPr="00905E8F">
              <w:rPr>
                <w:rFonts w:asciiTheme="minorHAnsi" w:hAnsiTheme="minorHAnsi"/>
                <w:szCs w:val="24"/>
              </w:rPr>
              <w:t>Organizational Capacity</w:t>
            </w:r>
          </w:p>
        </w:tc>
        <w:tc>
          <w:tcPr>
            <w:tcW w:w="4345" w:type="dxa"/>
          </w:tcPr>
          <w:p w14:paraId="45BF8EC3" w14:textId="4EE2B753" w:rsidR="0036265D" w:rsidRDefault="004F1327" w:rsidP="008F72E7">
            <w:pPr>
              <w:rPr>
                <w:rFonts w:asciiTheme="minorHAnsi" w:hAnsiTheme="minorHAnsi"/>
                <w:bCs/>
                <w:szCs w:val="24"/>
              </w:rPr>
            </w:pPr>
            <w:r w:rsidRPr="004F1327">
              <w:rPr>
                <w:rFonts w:asciiTheme="minorHAnsi" w:hAnsiTheme="minorHAnsi"/>
                <w:szCs w:val="24"/>
              </w:rPr>
              <w:t>Applicant has related housing experience; demonstrated successful complet</w:t>
            </w:r>
            <w:r w:rsidR="00FC0473">
              <w:rPr>
                <w:rFonts w:asciiTheme="minorHAnsi" w:hAnsiTheme="minorHAnsi"/>
                <w:szCs w:val="24"/>
              </w:rPr>
              <w:t>ion</w:t>
            </w:r>
            <w:r w:rsidRPr="004F1327">
              <w:rPr>
                <w:rFonts w:asciiTheme="minorHAnsi" w:hAnsiTheme="minorHAnsi"/>
                <w:szCs w:val="24"/>
              </w:rPr>
              <w:t xml:space="preserve"> of similar projects or activities; has the financial capacity to perform the work; has internal operations to support the program (</w:t>
            </w:r>
            <w:r w:rsidR="00143E56">
              <w:rPr>
                <w:rFonts w:asciiTheme="minorHAnsi" w:hAnsiTheme="minorHAnsi"/>
                <w:szCs w:val="24"/>
              </w:rPr>
              <w:t>such as</w:t>
            </w:r>
            <w:r w:rsidRPr="004F1327">
              <w:rPr>
                <w:rFonts w:asciiTheme="minorHAnsi" w:hAnsiTheme="minorHAnsi"/>
                <w:szCs w:val="24"/>
              </w:rPr>
              <w:t xml:space="preserve"> staff, systems, policies) or has a detailed plan on how they will expand capacity to perform the work.</w:t>
            </w:r>
            <w:r w:rsidR="001C504F">
              <w:rPr>
                <w:rFonts w:asciiTheme="minorHAnsi" w:hAnsiTheme="minorHAnsi"/>
                <w:bCs/>
                <w:szCs w:val="24"/>
              </w:rPr>
              <w:t xml:space="preserve"> Applicant has the knowledge, staff, systems and financial resources to reasonably complete the project within the contracted amount and term. If Applicant is increasing staff or working </w:t>
            </w:r>
            <w:r w:rsidR="001C504F">
              <w:rPr>
                <w:rFonts w:asciiTheme="minorHAnsi" w:hAnsiTheme="minorHAnsi"/>
                <w:bCs/>
                <w:szCs w:val="24"/>
              </w:rPr>
              <w:lastRenderedPageBreak/>
              <w:t>with others</w:t>
            </w:r>
            <w:r w:rsidR="00A02EE3">
              <w:rPr>
                <w:rFonts w:asciiTheme="minorHAnsi" w:hAnsiTheme="minorHAnsi"/>
                <w:bCs/>
                <w:szCs w:val="24"/>
              </w:rPr>
              <w:t>,</w:t>
            </w:r>
            <w:r w:rsidR="001C504F">
              <w:rPr>
                <w:rFonts w:asciiTheme="minorHAnsi" w:hAnsiTheme="minorHAnsi"/>
                <w:bCs/>
                <w:szCs w:val="24"/>
              </w:rPr>
              <w:t xml:space="preserve"> that is clearly </w:t>
            </w:r>
            <w:r w:rsidR="00B40984">
              <w:rPr>
                <w:rFonts w:asciiTheme="minorHAnsi" w:hAnsiTheme="minorHAnsi"/>
                <w:bCs/>
                <w:szCs w:val="24"/>
              </w:rPr>
              <w:t>identified,</w:t>
            </w:r>
            <w:r w:rsidR="001C504F">
              <w:rPr>
                <w:rFonts w:asciiTheme="minorHAnsi" w:hAnsiTheme="minorHAnsi"/>
                <w:bCs/>
                <w:szCs w:val="24"/>
              </w:rPr>
              <w:t xml:space="preserve"> and the roles of all parties are clear. If Applicant is utilizing other funds</w:t>
            </w:r>
            <w:r w:rsidR="00143E56">
              <w:rPr>
                <w:rFonts w:asciiTheme="minorHAnsi" w:hAnsiTheme="minorHAnsi"/>
                <w:bCs/>
                <w:szCs w:val="24"/>
              </w:rPr>
              <w:t>,</w:t>
            </w:r>
            <w:r w:rsidR="001C504F">
              <w:rPr>
                <w:rFonts w:asciiTheme="minorHAnsi" w:hAnsiTheme="minorHAnsi"/>
                <w:bCs/>
                <w:szCs w:val="24"/>
              </w:rPr>
              <w:t xml:space="preserve"> that is disclosed and documented.</w:t>
            </w:r>
            <w:r w:rsidR="008A400C">
              <w:rPr>
                <w:rFonts w:asciiTheme="minorHAnsi" w:hAnsiTheme="minorHAnsi"/>
                <w:bCs/>
                <w:szCs w:val="24"/>
              </w:rPr>
              <w:t xml:space="preserve"> </w:t>
            </w:r>
          </w:p>
          <w:p w14:paraId="5AFAA1D7" w14:textId="061AD6D6" w:rsidR="008A400C" w:rsidRPr="00905E8F" w:rsidRDefault="008A400C" w:rsidP="008F72E7">
            <w:pPr>
              <w:rPr>
                <w:rFonts w:asciiTheme="minorHAnsi" w:hAnsiTheme="minorHAnsi"/>
                <w:szCs w:val="24"/>
              </w:rPr>
            </w:pPr>
            <w:r>
              <w:rPr>
                <w:rFonts w:asciiTheme="minorHAnsi" w:hAnsiTheme="minorHAnsi"/>
                <w:szCs w:val="24"/>
              </w:rPr>
              <w:t>Applicant has demonstrated</w:t>
            </w:r>
            <w:r w:rsidR="00A02EE3">
              <w:rPr>
                <w:rFonts w:asciiTheme="minorHAnsi" w:hAnsiTheme="minorHAnsi"/>
                <w:szCs w:val="24"/>
              </w:rPr>
              <w:t xml:space="preserve"> experience</w:t>
            </w:r>
            <w:r>
              <w:rPr>
                <w:rFonts w:asciiTheme="minorHAnsi" w:hAnsiTheme="minorHAnsi"/>
                <w:szCs w:val="24"/>
              </w:rPr>
              <w:t xml:space="preserve"> financing affordable ownership housing through loans or grants to individuals and/or other nonprofit organizations. </w:t>
            </w:r>
            <w:r w:rsidR="00A02EE3">
              <w:rPr>
                <w:rFonts w:asciiTheme="minorHAnsi" w:hAnsiTheme="minorHAnsi"/>
                <w:szCs w:val="24"/>
              </w:rPr>
              <w:t xml:space="preserve">Response </w:t>
            </w:r>
            <w:r w:rsidR="00FC0473">
              <w:rPr>
                <w:rFonts w:asciiTheme="minorHAnsi" w:hAnsiTheme="minorHAnsi"/>
                <w:szCs w:val="24"/>
              </w:rPr>
              <w:t xml:space="preserve">demonstrates </w:t>
            </w:r>
            <w:r>
              <w:rPr>
                <w:rFonts w:asciiTheme="minorHAnsi" w:hAnsiTheme="minorHAnsi"/>
                <w:szCs w:val="24"/>
              </w:rPr>
              <w:t>significant experience with direct lending as well as lending in an intermediary role</w:t>
            </w:r>
            <w:r w:rsidR="00FC0473">
              <w:rPr>
                <w:rFonts w:asciiTheme="minorHAnsi" w:hAnsiTheme="minorHAnsi"/>
                <w:szCs w:val="24"/>
              </w:rPr>
              <w:t>.</w:t>
            </w:r>
          </w:p>
        </w:tc>
        <w:tc>
          <w:tcPr>
            <w:tcW w:w="2065" w:type="dxa"/>
          </w:tcPr>
          <w:p w14:paraId="5C1F9756" w14:textId="5349AF79" w:rsidR="0036265D" w:rsidRPr="00905E8F" w:rsidRDefault="006F548D" w:rsidP="008F72E7">
            <w:pPr>
              <w:rPr>
                <w:szCs w:val="24"/>
              </w:rPr>
            </w:pPr>
            <w:r>
              <w:rPr>
                <w:szCs w:val="24"/>
              </w:rPr>
              <w:lastRenderedPageBreak/>
              <w:t>3</w:t>
            </w:r>
            <w:r w:rsidR="00301E9E" w:rsidRPr="00905E8F">
              <w:rPr>
                <w:szCs w:val="24"/>
              </w:rPr>
              <w:t xml:space="preserve"> points</w:t>
            </w:r>
          </w:p>
        </w:tc>
      </w:tr>
      <w:tr w:rsidR="0036265D" w:rsidRPr="00E570C1" w14:paraId="1AC64891" w14:textId="77777777" w:rsidTr="001A5587">
        <w:tc>
          <w:tcPr>
            <w:tcW w:w="2940" w:type="dxa"/>
          </w:tcPr>
          <w:p w14:paraId="1680C6A4" w14:textId="002467E7" w:rsidR="0036265D" w:rsidRPr="00905E8F" w:rsidRDefault="00816F45" w:rsidP="008F72E7">
            <w:pPr>
              <w:rPr>
                <w:rFonts w:asciiTheme="minorHAnsi" w:hAnsiTheme="minorHAnsi"/>
                <w:szCs w:val="24"/>
              </w:rPr>
            </w:pPr>
            <w:r w:rsidRPr="00905E8F">
              <w:rPr>
                <w:rFonts w:asciiTheme="minorHAnsi" w:hAnsiTheme="minorHAnsi"/>
                <w:szCs w:val="24"/>
              </w:rPr>
              <w:t>Equity</w:t>
            </w:r>
            <w:r w:rsidR="001C504F">
              <w:rPr>
                <w:rFonts w:asciiTheme="minorHAnsi" w:hAnsiTheme="minorHAnsi"/>
                <w:szCs w:val="24"/>
              </w:rPr>
              <w:t>/Diversity</w:t>
            </w:r>
            <w:r w:rsidRPr="00905E8F">
              <w:rPr>
                <w:rFonts w:asciiTheme="minorHAnsi" w:hAnsiTheme="minorHAnsi"/>
                <w:szCs w:val="24"/>
              </w:rPr>
              <w:t xml:space="preserve"> </w:t>
            </w:r>
          </w:p>
        </w:tc>
        <w:tc>
          <w:tcPr>
            <w:tcW w:w="4345" w:type="dxa"/>
          </w:tcPr>
          <w:p w14:paraId="472B43E3" w14:textId="0648D923" w:rsidR="0036265D" w:rsidRDefault="004F1327" w:rsidP="00301E9E">
            <w:pPr>
              <w:rPr>
                <w:rFonts w:asciiTheme="minorHAnsi" w:hAnsiTheme="minorHAnsi"/>
                <w:szCs w:val="24"/>
              </w:rPr>
            </w:pPr>
            <w:r w:rsidRPr="004F1327">
              <w:rPr>
                <w:rFonts w:asciiTheme="minorHAnsi" w:hAnsiTheme="minorHAnsi"/>
                <w:szCs w:val="24"/>
              </w:rPr>
              <w:t>Applicant has a deep understanding of the communities they intend to serve</w:t>
            </w:r>
            <w:r w:rsidR="00143E56">
              <w:rPr>
                <w:rFonts w:asciiTheme="minorHAnsi" w:hAnsiTheme="minorHAnsi"/>
                <w:szCs w:val="24"/>
              </w:rPr>
              <w:t>,</w:t>
            </w:r>
            <w:r w:rsidRPr="004F1327">
              <w:rPr>
                <w:rFonts w:asciiTheme="minorHAnsi" w:hAnsiTheme="minorHAnsi"/>
                <w:szCs w:val="24"/>
              </w:rPr>
              <w:t xml:space="preserve"> including the needs and challenges of the community</w:t>
            </w:r>
            <w:r w:rsidR="00143E56">
              <w:rPr>
                <w:rFonts w:asciiTheme="minorHAnsi" w:hAnsiTheme="minorHAnsi"/>
                <w:szCs w:val="24"/>
              </w:rPr>
              <w:t>.</w:t>
            </w:r>
            <w:r w:rsidRPr="004F1327">
              <w:rPr>
                <w:rFonts w:asciiTheme="minorHAnsi" w:hAnsiTheme="minorHAnsi"/>
                <w:szCs w:val="24"/>
              </w:rPr>
              <w:t xml:space="preserve"> </w:t>
            </w:r>
            <w:r w:rsidR="00143E56">
              <w:rPr>
                <w:rFonts w:asciiTheme="minorHAnsi" w:hAnsiTheme="minorHAnsi"/>
                <w:szCs w:val="24"/>
              </w:rPr>
              <w:t xml:space="preserve">They </w:t>
            </w:r>
            <w:r w:rsidRPr="004F1327">
              <w:rPr>
                <w:rFonts w:asciiTheme="minorHAnsi" w:hAnsiTheme="minorHAnsi"/>
                <w:szCs w:val="24"/>
              </w:rPr>
              <w:t>ha</w:t>
            </w:r>
            <w:r w:rsidR="00143E56">
              <w:rPr>
                <w:rFonts w:asciiTheme="minorHAnsi" w:hAnsiTheme="minorHAnsi"/>
                <w:szCs w:val="24"/>
              </w:rPr>
              <w:t>ve</w:t>
            </w:r>
            <w:r w:rsidRPr="004F1327">
              <w:rPr>
                <w:rFonts w:asciiTheme="minorHAnsi" w:hAnsiTheme="minorHAnsi"/>
                <w:szCs w:val="24"/>
              </w:rPr>
              <w:t xml:space="preserve"> meaningful and trusted connections with the community or will partner with entities that have those connections</w:t>
            </w:r>
            <w:r w:rsidR="00FC0473">
              <w:rPr>
                <w:rFonts w:asciiTheme="minorHAnsi" w:hAnsiTheme="minorHAnsi"/>
                <w:szCs w:val="24"/>
              </w:rPr>
              <w:t>.</w:t>
            </w:r>
          </w:p>
          <w:p w14:paraId="65512D09" w14:textId="184DA996" w:rsidR="00FC0473" w:rsidRPr="00B50019" w:rsidRDefault="00FC0473" w:rsidP="00301E9E">
            <w:r w:rsidRPr="00905E8F">
              <w:rPr>
                <w:rStyle w:val="Strong"/>
              </w:rPr>
              <w:t xml:space="preserve">NOTE: </w:t>
            </w:r>
            <w:r w:rsidRPr="00905E8F">
              <w:t>Recognizing and honoring sovereignty, Tribal Nations will receive automatic points for the Equity section.</w:t>
            </w:r>
          </w:p>
        </w:tc>
        <w:tc>
          <w:tcPr>
            <w:tcW w:w="2065" w:type="dxa"/>
          </w:tcPr>
          <w:p w14:paraId="76399998" w14:textId="7F24107E" w:rsidR="0036265D" w:rsidRPr="00905E8F" w:rsidRDefault="005F6838" w:rsidP="008F72E7">
            <w:pPr>
              <w:rPr>
                <w:szCs w:val="24"/>
              </w:rPr>
            </w:pPr>
            <w:r>
              <w:rPr>
                <w:szCs w:val="24"/>
              </w:rPr>
              <w:t>3</w:t>
            </w:r>
            <w:r w:rsidR="00301E9E" w:rsidRPr="00905E8F">
              <w:rPr>
                <w:szCs w:val="24"/>
              </w:rPr>
              <w:t xml:space="preserve"> points</w:t>
            </w:r>
          </w:p>
        </w:tc>
      </w:tr>
      <w:tr w:rsidR="007F7193" w:rsidRPr="00475B33" w14:paraId="36477DC5" w14:textId="77777777" w:rsidTr="001A5587">
        <w:tc>
          <w:tcPr>
            <w:tcW w:w="2940" w:type="dxa"/>
          </w:tcPr>
          <w:p w14:paraId="2BAD4186" w14:textId="0FE64568" w:rsidR="007F7193" w:rsidRPr="00905E8F" w:rsidRDefault="001C504F" w:rsidP="00905E8F">
            <w:pPr>
              <w:tabs>
                <w:tab w:val="left" w:pos="818"/>
              </w:tabs>
              <w:rPr>
                <w:rFonts w:asciiTheme="minorHAnsi" w:hAnsiTheme="minorHAnsi"/>
                <w:bCs/>
                <w:szCs w:val="24"/>
              </w:rPr>
            </w:pPr>
            <w:r>
              <w:rPr>
                <w:rStyle w:val="ui-provider"/>
                <w:rFonts w:eastAsiaTheme="majorEastAsia"/>
              </w:rPr>
              <w:t>Populations and Homebuyers to be Served</w:t>
            </w:r>
            <w:r w:rsidRPr="00905E8F" w:rsidDel="001C504F">
              <w:rPr>
                <w:rFonts w:cs="Calibri"/>
                <w:bCs/>
                <w:color w:val="000000"/>
                <w:szCs w:val="24"/>
              </w:rPr>
              <w:t xml:space="preserve"> </w:t>
            </w:r>
          </w:p>
        </w:tc>
        <w:tc>
          <w:tcPr>
            <w:tcW w:w="4345" w:type="dxa"/>
          </w:tcPr>
          <w:p w14:paraId="7636960D" w14:textId="409356E0" w:rsidR="007F7193" w:rsidRDefault="007F7193" w:rsidP="007F7193">
            <w:pPr>
              <w:rPr>
                <w:rFonts w:asciiTheme="minorHAnsi" w:hAnsiTheme="minorHAnsi"/>
                <w:bCs/>
                <w:szCs w:val="24"/>
              </w:rPr>
            </w:pPr>
            <w:r>
              <w:rPr>
                <w:rFonts w:asciiTheme="minorHAnsi" w:hAnsiTheme="minorHAnsi"/>
                <w:bCs/>
                <w:szCs w:val="24"/>
              </w:rPr>
              <w:t xml:space="preserve">Applicant articulates the plan succinctly and with sufficient details supported by data to understand the gaps in the market and how </w:t>
            </w:r>
            <w:r w:rsidR="001D3216">
              <w:rPr>
                <w:rFonts w:asciiTheme="minorHAnsi" w:hAnsiTheme="minorHAnsi"/>
                <w:bCs/>
                <w:szCs w:val="24"/>
              </w:rPr>
              <w:t>to</w:t>
            </w:r>
            <w:r>
              <w:rPr>
                <w:rFonts w:asciiTheme="minorHAnsi" w:hAnsiTheme="minorHAnsi"/>
                <w:bCs/>
                <w:szCs w:val="24"/>
              </w:rPr>
              <w:t xml:space="preserve"> address those gaps</w:t>
            </w:r>
            <w:r w:rsidR="001C504F">
              <w:rPr>
                <w:rFonts w:asciiTheme="minorHAnsi" w:hAnsiTheme="minorHAnsi"/>
                <w:bCs/>
                <w:szCs w:val="24"/>
              </w:rPr>
              <w:t>. Criteria of t</w:t>
            </w:r>
            <w:r w:rsidR="001D3216">
              <w:rPr>
                <w:rFonts w:asciiTheme="minorHAnsi" w:hAnsiTheme="minorHAnsi"/>
                <w:bCs/>
                <w:szCs w:val="24"/>
              </w:rPr>
              <w:t>argeted</w:t>
            </w:r>
            <w:r w:rsidR="001C504F">
              <w:rPr>
                <w:rFonts w:asciiTheme="minorHAnsi" w:hAnsiTheme="minorHAnsi"/>
                <w:bCs/>
                <w:szCs w:val="24"/>
              </w:rPr>
              <w:t xml:space="preserve"> homebuyers are outlined and will serve traditionally low</w:t>
            </w:r>
            <w:r w:rsidR="001D3683">
              <w:rPr>
                <w:rFonts w:asciiTheme="minorHAnsi" w:hAnsiTheme="minorHAnsi"/>
                <w:bCs/>
                <w:szCs w:val="24"/>
              </w:rPr>
              <w:t>-</w:t>
            </w:r>
            <w:r w:rsidR="001C504F">
              <w:rPr>
                <w:rFonts w:asciiTheme="minorHAnsi" w:hAnsiTheme="minorHAnsi"/>
                <w:bCs/>
                <w:szCs w:val="24"/>
              </w:rPr>
              <w:t xml:space="preserve"> and moderate-income homebuyers and underserved communities. </w:t>
            </w:r>
            <w:r w:rsidR="00C35526">
              <w:rPr>
                <w:rFonts w:asciiTheme="minorHAnsi" w:hAnsiTheme="minorHAnsi"/>
                <w:bCs/>
                <w:szCs w:val="24"/>
              </w:rPr>
              <w:t>Applicant outlines p</w:t>
            </w:r>
            <w:r w:rsidR="001C504F">
              <w:rPr>
                <w:rFonts w:asciiTheme="minorHAnsi" w:hAnsiTheme="minorHAnsi"/>
                <w:bCs/>
                <w:szCs w:val="24"/>
              </w:rPr>
              <w:t xml:space="preserve">lans to ensure homes will remain affordable after the initial purchase by an eligible homebuyer. </w:t>
            </w:r>
            <w:r w:rsidR="00C35526">
              <w:rPr>
                <w:rFonts w:asciiTheme="minorHAnsi" w:hAnsiTheme="minorHAnsi"/>
                <w:bCs/>
                <w:szCs w:val="24"/>
              </w:rPr>
              <w:t>Applicant describes p</w:t>
            </w:r>
            <w:r w:rsidR="001C504F">
              <w:rPr>
                <w:rFonts w:asciiTheme="minorHAnsi" w:hAnsiTheme="minorHAnsi"/>
                <w:bCs/>
                <w:szCs w:val="24"/>
              </w:rPr>
              <w:t xml:space="preserve">lans to ensure </w:t>
            </w:r>
            <w:r w:rsidR="001C504F">
              <w:rPr>
                <w:rFonts w:asciiTheme="minorHAnsi" w:hAnsiTheme="minorHAnsi"/>
                <w:bCs/>
                <w:szCs w:val="24"/>
              </w:rPr>
              <w:lastRenderedPageBreak/>
              <w:t>homebuyers are successful after purchase.</w:t>
            </w:r>
          </w:p>
          <w:p w14:paraId="30B76BAD" w14:textId="1D22802E" w:rsidR="001C504F" w:rsidRPr="00905E8F" w:rsidRDefault="00C35526" w:rsidP="007F7193">
            <w:pPr>
              <w:rPr>
                <w:rFonts w:asciiTheme="minorHAnsi" w:hAnsiTheme="minorHAnsi"/>
                <w:bCs/>
                <w:szCs w:val="24"/>
              </w:rPr>
            </w:pPr>
            <w:r w:rsidRPr="00F22138">
              <w:rPr>
                <w:rFonts w:cs="Calibri"/>
                <w:color w:val="000000"/>
              </w:rPr>
              <w:t xml:space="preserve">The proposed plan will </w:t>
            </w:r>
            <w:r w:rsidR="001C504F" w:rsidRPr="00F22138">
              <w:rPr>
                <w:rFonts w:cs="Calibri"/>
                <w:color w:val="000000"/>
              </w:rPr>
              <w:t xml:space="preserve">result in regional or statewide coverage and </w:t>
            </w:r>
            <w:r w:rsidR="001D3216">
              <w:rPr>
                <w:rFonts w:cs="Calibri"/>
                <w:color w:val="000000"/>
              </w:rPr>
              <w:t xml:space="preserve">impact </w:t>
            </w:r>
            <w:r w:rsidR="001C504F" w:rsidRPr="00F22138">
              <w:rPr>
                <w:rFonts w:cs="Calibri"/>
                <w:color w:val="000000"/>
              </w:rPr>
              <w:t>underserved communities, including rural and Tribal communities and communities</w:t>
            </w:r>
            <w:r w:rsidR="001D3216">
              <w:rPr>
                <w:rFonts w:cs="Calibri"/>
                <w:color w:val="000000"/>
              </w:rPr>
              <w:t xml:space="preserve"> of color</w:t>
            </w:r>
            <w:r w:rsidR="00CB5995">
              <w:rPr>
                <w:rFonts w:cs="Calibri"/>
                <w:color w:val="000000"/>
              </w:rPr>
              <w:t>.</w:t>
            </w:r>
          </w:p>
        </w:tc>
        <w:tc>
          <w:tcPr>
            <w:tcW w:w="2065" w:type="dxa"/>
          </w:tcPr>
          <w:p w14:paraId="07AA95F5" w14:textId="06927FBD" w:rsidR="007F7193" w:rsidRPr="00905E8F" w:rsidRDefault="007F7193" w:rsidP="007F7193">
            <w:pPr>
              <w:rPr>
                <w:bCs/>
                <w:szCs w:val="24"/>
              </w:rPr>
            </w:pPr>
            <w:r>
              <w:rPr>
                <w:bCs/>
                <w:szCs w:val="24"/>
              </w:rPr>
              <w:lastRenderedPageBreak/>
              <w:t>3 points</w:t>
            </w:r>
          </w:p>
        </w:tc>
      </w:tr>
      <w:tr w:rsidR="00FC0473" w:rsidRPr="00475B33" w14:paraId="31C77655" w14:textId="77777777" w:rsidTr="001A5587">
        <w:tc>
          <w:tcPr>
            <w:tcW w:w="2940" w:type="dxa"/>
          </w:tcPr>
          <w:p w14:paraId="2FCE69DD" w14:textId="77777777" w:rsidR="00FC0473" w:rsidRDefault="00FC0473" w:rsidP="00905E8F">
            <w:pPr>
              <w:spacing w:before="0" w:after="0"/>
              <w:jc w:val="both"/>
              <w:rPr>
                <w:rFonts w:cs="Calibri"/>
                <w:bCs/>
                <w:color w:val="000000"/>
                <w:szCs w:val="24"/>
              </w:rPr>
            </w:pPr>
          </w:p>
          <w:p w14:paraId="6FB0B705" w14:textId="3F5671DC" w:rsidR="00FC0473" w:rsidRPr="00905E8F" w:rsidRDefault="007E14D6" w:rsidP="00016346">
            <w:pPr>
              <w:spacing w:before="0" w:after="0"/>
              <w:jc w:val="both"/>
              <w:rPr>
                <w:rFonts w:asciiTheme="minorHAnsi" w:hAnsiTheme="minorHAnsi"/>
                <w:bCs/>
                <w:szCs w:val="24"/>
              </w:rPr>
            </w:pPr>
            <w:r>
              <w:rPr>
                <w:rFonts w:cs="Calibri"/>
                <w:bCs/>
                <w:color w:val="000000"/>
                <w:szCs w:val="24"/>
              </w:rPr>
              <w:t xml:space="preserve">Targeted Service Area </w:t>
            </w:r>
          </w:p>
        </w:tc>
        <w:tc>
          <w:tcPr>
            <w:tcW w:w="4345" w:type="dxa"/>
          </w:tcPr>
          <w:p w14:paraId="696A2D74" w14:textId="543B26CD" w:rsidR="00FC0473" w:rsidRPr="00905E8F" w:rsidRDefault="00FC0473" w:rsidP="00905E8F">
            <w:pPr>
              <w:rPr>
                <w:rFonts w:asciiTheme="minorHAnsi" w:hAnsiTheme="minorHAnsi"/>
                <w:bCs/>
                <w:szCs w:val="24"/>
              </w:rPr>
            </w:pPr>
            <w:r>
              <w:rPr>
                <w:rFonts w:asciiTheme="minorHAnsi" w:hAnsiTheme="minorHAnsi"/>
                <w:bCs/>
                <w:szCs w:val="24"/>
              </w:rPr>
              <w:t>The gaps in the specific targeted areas are well documented and reach traditionally underserved communities. A plan for how to reach those target areas is provided.</w:t>
            </w:r>
          </w:p>
        </w:tc>
        <w:tc>
          <w:tcPr>
            <w:tcW w:w="2065" w:type="dxa"/>
          </w:tcPr>
          <w:p w14:paraId="295EB80C" w14:textId="0AF25675" w:rsidR="00FC0473" w:rsidRPr="00905E8F" w:rsidRDefault="00FC0473" w:rsidP="007F7193">
            <w:pPr>
              <w:rPr>
                <w:bCs/>
                <w:szCs w:val="24"/>
              </w:rPr>
            </w:pPr>
            <w:r>
              <w:rPr>
                <w:bCs/>
                <w:szCs w:val="24"/>
              </w:rPr>
              <w:t>3 points</w:t>
            </w:r>
          </w:p>
        </w:tc>
      </w:tr>
      <w:tr w:rsidR="00FC0473" w:rsidRPr="00475B33" w14:paraId="3C34C327" w14:textId="77777777" w:rsidTr="001A5587">
        <w:tc>
          <w:tcPr>
            <w:tcW w:w="2940" w:type="dxa"/>
          </w:tcPr>
          <w:p w14:paraId="0E51FC81" w14:textId="77777777" w:rsidR="00FC0473" w:rsidRDefault="00FC0473" w:rsidP="007F7193">
            <w:pPr>
              <w:spacing w:before="0" w:after="0"/>
              <w:jc w:val="both"/>
              <w:rPr>
                <w:rFonts w:cs="Calibri"/>
                <w:bCs/>
                <w:color w:val="000000"/>
                <w:szCs w:val="24"/>
              </w:rPr>
            </w:pPr>
          </w:p>
          <w:p w14:paraId="7A508786" w14:textId="77777777" w:rsidR="00FC0473" w:rsidRPr="006630E6" w:rsidRDefault="00FC0473" w:rsidP="007F7193">
            <w:pPr>
              <w:spacing w:before="0" w:after="0"/>
              <w:jc w:val="both"/>
              <w:rPr>
                <w:rFonts w:cs="Calibri"/>
                <w:bCs/>
                <w:color w:val="000000"/>
                <w:szCs w:val="24"/>
              </w:rPr>
            </w:pPr>
            <w:r>
              <w:rPr>
                <w:rFonts w:cs="Calibri"/>
                <w:bCs/>
                <w:color w:val="000000"/>
                <w:szCs w:val="24"/>
              </w:rPr>
              <w:t>Budget</w:t>
            </w:r>
          </w:p>
          <w:p w14:paraId="6C3A2972" w14:textId="77777777" w:rsidR="00FC0473" w:rsidRPr="00905E8F" w:rsidRDefault="00FC0473" w:rsidP="00905E8F">
            <w:pPr>
              <w:spacing w:before="0" w:after="0"/>
              <w:jc w:val="both"/>
              <w:rPr>
                <w:rFonts w:cs="Calibri"/>
                <w:bCs/>
                <w:color w:val="000000"/>
                <w:szCs w:val="24"/>
              </w:rPr>
            </w:pPr>
          </w:p>
        </w:tc>
        <w:tc>
          <w:tcPr>
            <w:tcW w:w="4345" w:type="dxa"/>
          </w:tcPr>
          <w:p w14:paraId="0E54F78C" w14:textId="7C4C7B48" w:rsidR="00FC0473" w:rsidRPr="00905E8F" w:rsidDel="00475B33" w:rsidRDefault="00FC0473" w:rsidP="00905E8F">
            <w:pPr>
              <w:rPr>
                <w:rFonts w:asciiTheme="minorHAnsi" w:hAnsiTheme="minorHAnsi"/>
                <w:bCs/>
                <w:szCs w:val="24"/>
              </w:rPr>
            </w:pPr>
            <w:r>
              <w:rPr>
                <w:rFonts w:asciiTheme="minorHAnsi" w:hAnsiTheme="minorHAnsi"/>
                <w:bCs/>
                <w:szCs w:val="24"/>
              </w:rPr>
              <w:t xml:space="preserve">A fully completed, detailed budget is provided. If other funds will be utilized for the </w:t>
            </w:r>
            <w:r w:rsidR="000C73D0">
              <w:rPr>
                <w:rFonts w:asciiTheme="minorHAnsi" w:hAnsiTheme="minorHAnsi"/>
                <w:bCs/>
                <w:szCs w:val="24"/>
              </w:rPr>
              <w:t>project,</w:t>
            </w:r>
            <w:r>
              <w:rPr>
                <w:rFonts w:asciiTheme="minorHAnsi" w:hAnsiTheme="minorHAnsi"/>
                <w:bCs/>
                <w:szCs w:val="24"/>
              </w:rPr>
              <w:t xml:space="preserve"> it is clear how they will be used and if the project would be feasible </w:t>
            </w:r>
            <w:r w:rsidR="001D3216">
              <w:rPr>
                <w:rFonts w:asciiTheme="minorHAnsi" w:hAnsiTheme="minorHAnsi"/>
                <w:bCs/>
                <w:szCs w:val="24"/>
              </w:rPr>
              <w:t xml:space="preserve">without </w:t>
            </w:r>
            <w:r>
              <w:rPr>
                <w:rFonts w:asciiTheme="minorHAnsi" w:hAnsiTheme="minorHAnsi"/>
                <w:bCs/>
                <w:szCs w:val="24"/>
              </w:rPr>
              <w:t xml:space="preserve">the full </w:t>
            </w:r>
            <w:r w:rsidR="00F33674">
              <w:rPr>
                <w:rFonts w:asciiTheme="minorHAnsi" w:hAnsiTheme="minorHAnsi"/>
                <w:bCs/>
                <w:szCs w:val="24"/>
              </w:rPr>
              <w:t xml:space="preserve">grant </w:t>
            </w:r>
            <w:r>
              <w:rPr>
                <w:rFonts w:asciiTheme="minorHAnsi" w:hAnsiTheme="minorHAnsi"/>
                <w:bCs/>
                <w:szCs w:val="24"/>
              </w:rPr>
              <w:t>amount requested.</w:t>
            </w:r>
          </w:p>
        </w:tc>
        <w:tc>
          <w:tcPr>
            <w:tcW w:w="2065" w:type="dxa"/>
          </w:tcPr>
          <w:p w14:paraId="6CA97685" w14:textId="42ABC775" w:rsidR="00FC0473" w:rsidRPr="00905E8F" w:rsidRDefault="00FC0473" w:rsidP="007F7193">
            <w:pPr>
              <w:rPr>
                <w:bCs/>
                <w:szCs w:val="24"/>
              </w:rPr>
            </w:pPr>
            <w:r>
              <w:rPr>
                <w:bCs/>
                <w:szCs w:val="24"/>
              </w:rPr>
              <w:t>3 points</w:t>
            </w:r>
          </w:p>
        </w:tc>
      </w:tr>
    </w:tbl>
    <w:p w14:paraId="3DE9EC5E" w14:textId="4F9C2479" w:rsidR="00951DC8" w:rsidRPr="00C35526" w:rsidRDefault="00951DC8" w:rsidP="00687162">
      <w:pPr>
        <w:pStyle w:val="NormalWeb"/>
        <w:spacing w:before="240" w:beforeAutospacing="0" w:after="0" w:afterAutospacing="0"/>
        <w:rPr>
          <w:rFonts w:ascii="Calibri" w:hAnsi="Calibri" w:cs="Calibri"/>
        </w:rPr>
      </w:pPr>
      <w:bookmarkStart w:id="31" w:name="_Toc162441879"/>
      <w:r w:rsidRPr="00C35526">
        <w:rPr>
          <w:rFonts w:ascii="Calibri" w:hAnsi="Calibri" w:cs="Calibri"/>
        </w:rPr>
        <w:t xml:space="preserve">Overall, a priority for the </w:t>
      </w:r>
      <w:r w:rsidR="00C35526">
        <w:rPr>
          <w:rFonts w:ascii="Calibri" w:hAnsi="Calibri" w:cs="Calibri"/>
        </w:rPr>
        <w:t>P</w:t>
      </w:r>
      <w:r w:rsidRPr="00AE3E98">
        <w:rPr>
          <w:rFonts w:ascii="Calibri" w:hAnsi="Calibri" w:cs="Calibri"/>
        </w:rPr>
        <w:t xml:space="preserve">rogram is to provide </w:t>
      </w:r>
      <w:r w:rsidR="00C35526">
        <w:rPr>
          <w:rFonts w:ascii="Calibri" w:hAnsi="Calibri" w:cs="Calibri"/>
        </w:rPr>
        <w:t xml:space="preserve">grants to fund </w:t>
      </w:r>
      <w:r w:rsidRPr="00C35526">
        <w:rPr>
          <w:rFonts w:ascii="Calibri" w:hAnsi="Calibri" w:cs="Calibri"/>
        </w:rPr>
        <w:t xml:space="preserve">the full range of activities across the entire state. </w:t>
      </w:r>
      <w:r w:rsidR="00C35526">
        <w:rPr>
          <w:rFonts w:ascii="Calibri" w:hAnsi="Calibri" w:cs="Calibri"/>
        </w:rPr>
        <w:t>Minnesota Housing</w:t>
      </w:r>
      <w:r w:rsidRPr="00C35526">
        <w:rPr>
          <w:rFonts w:ascii="Calibri" w:hAnsi="Calibri" w:cs="Calibri"/>
        </w:rPr>
        <w:t xml:space="preserve"> will </w:t>
      </w:r>
      <w:r w:rsidR="00C35526">
        <w:rPr>
          <w:rFonts w:ascii="Calibri" w:hAnsi="Calibri" w:cs="Calibri"/>
        </w:rPr>
        <w:t>award grants</w:t>
      </w:r>
      <w:r w:rsidRPr="00C35526">
        <w:rPr>
          <w:rFonts w:ascii="Calibri" w:hAnsi="Calibri" w:cs="Calibri"/>
        </w:rPr>
        <w:t xml:space="preserve"> </w:t>
      </w:r>
      <w:r w:rsidR="00C35526">
        <w:rPr>
          <w:rFonts w:ascii="Calibri" w:hAnsi="Calibri" w:cs="Calibri"/>
        </w:rPr>
        <w:t xml:space="preserve">to </w:t>
      </w:r>
      <w:r w:rsidRPr="00C35526">
        <w:rPr>
          <w:rFonts w:ascii="Calibri" w:hAnsi="Calibri" w:cs="Calibri"/>
        </w:rPr>
        <w:t>ensure Greater Minnesota geographies have equitable access to these resources.</w:t>
      </w:r>
    </w:p>
    <w:p w14:paraId="6382A9C9" w14:textId="26FF1EAE" w:rsidR="00001DE6" w:rsidRDefault="00001DE6" w:rsidP="00F33674">
      <w:pPr>
        <w:pStyle w:val="Heading3"/>
      </w:pPr>
      <w:bookmarkStart w:id="32" w:name="_Toc188863863"/>
      <w:r>
        <w:t>G.</w:t>
      </w:r>
      <w:r w:rsidR="000A324B">
        <w:t>3</w:t>
      </w:r>
      <w:r>
        <w:t xml:space="preserve"> Leveraged Funds</w:t>
      </w:r>
      <w:bookmarkEnd w:id="32"/>
    </w:p>
    <w:p w14:paraId="6D1B9B25" w14:textId="343025E7" w:rsidR="00D73486" w:rsidRPr="00905E8F" w:rsidRDefault="00001DE6" w:rsidP="00D87777">
      <w:pPr>
        <w:pStyle w:val="NormalWeb"/>
        <w:rPr>
          <w:rStyle w:val="ui-provider"/>
          <w:rFonts w:asciiTheme="minorHAnsi" w:eastAsiaTheme="majorEastAsia" w:hAnsiTheme="minorHAnsi" w:cstheme="minorHAnsi"/>
        </w:rPr>
      </w:pPr>
      <w:r w:rsidRPr="00905E8F">
        <w:rPr>
          <w:rStyle w:val="ui-provider"/>
          <w:rFonts w:asciiTheme="minorHAnsi" w:eastAsiaTheme="majorEastAsia" w:hAnsiTheme="minorHAnsi" w:cstheme="minorHAnsi"/>
        </w:rPr>
        <w:t>Committed financial leverage is the cash amount of leveraged funds dedicated specifically to the proposed project to close a funding gap.</w:t>
      </w:r>
      <w:r w:rsidR="004C2AA0">
        <w:rPr>
          <w:rStyle w:val="ui-provider"/>
          <w:rFonts w:asciiTheme="minorHAnsi" w:eastAsiaTheme="majorEastAsia" w:hAnsiTheme="minorHAnsi" w:cstheme="minorHAnsi"/>
        </w:rPr>
        <w:t xml:space="preserve"> </w:t>
      </w:r>
      <w:r w:rsidRPr="00905E8F">
        <w:rPr>
          <w:rFonts w:asciiTheme="minorHAnsi" w:hAnsiTheme="minorHAnsi" w:cstheme="minorHAnsi"/>
        </w:rPr>
        <w:t xml:space="preserve">Use of leveraged funds is not a requirement for this program. However, if the proposal includes the use of </w:t>
      </w:r>
      <w:r w:rsidRPr="00905E8F">
        <w:rPr>
          <w:rStyle w:val="ui-provider"/>
          <w:rFonts w:asciiTheme="minorHAnsi" w:eastAsiaTheme="majorEastAsia" w:hAnsiTheme="minorHAnsi" w:cstheme="minorHAnsi"/>
        </w:rPr>
        <w:t>f</w:t>
      </w:r>
      <w:r w:rsidR="00D73486" w:rsidRPr="00905E8F">
        <w:rPr>
          <w:rStyle w:val="ui-provider"/>
          <w:rFonts w:asciiTheme="minorHAnsi" w:eastAsiaTheme="majorEastAsia" w:hAnsiTheme="minorHAnsi" w:cstheme="minorHAnsi"/>
        </w:rPr>
        <w:t xml:space="preserve">inancial </w:t>
      </w:r>
      <w:r w:rsidRPr="00905E8F">
        <w:rPr>
          <w:rStyle w:val="ui-provider"/>
          <w:rFonts w:asciiTheme="minorHAnsi" w:eastAsiaTheme="majorEastAsia" w:hAnsiTheme="minorHAnsi" w:cstheme="minorHAnsi"/>
        </w:rPr>
        <w:t>l</w:t>
      </w:r>
      <w:r w:rsidR="00D73486" w:rsidRPr="00905E8F">
        <w:rPr>
          <w:rStyle w:val="ui-provider"/>
          <w:rFonts w:asciiTheme="minorHAnsi" w:eastAsiaTheme="majorEastAsia" w:hAnsiTheme="minorHAnsi" w:cstheme="minorHAnsi"/>
        </w:rPr>
        <w:t>everage</w:t>
      </w:r>
      <w:r w:rsidRPr="00905E8F">
        <w:rPr>
          <w:rStyle w:val="ui-provider"/>
          <w:rFonts w:asciiTheme="minorHAnsi" w:eastAsiaTheme="majorEastAsia" w:hAnsiTheme="minorHAnsi" w:cstheme="minorHAnsi"/>
        </w:rPr>
        <w:t xml:space="preserve">, </w:t>
      </w:r>
      <w:r w:rsidR="00D73486" w:rsidRPr="00905E8F">
        <w:rPr>
          <w:rStyle w:val="ui-provider"/>
          <w:rFonts w:asciiTheme="minorHAnsi" w:eastAsiaTheme="majorEastAsia" w:hAnsiTheme="minorHAnsi" w:cstheme="minorHAnsi"/>
        </w:rPr>
        <w:t xml:space="preserve">Minnesota Housing </w:t>
      </w:r>
      <w:r w:rsidRPr="00905E8F">
        <w:rPr>
          <w:rStyle w:val="ui-provider"/>
          <w:rFonts w:asciiTheme="minorHAnsi" w:eastAsiaTheme="majorEastAsia" w:hAnsiTheme="minorHAnsi" w:cstheme="minorHAnsi"/>
        </w:rPr>
        <w:t xml:space="preserve">will </w:t>
      </w:r>
      <w:r w:rsidR="00D73486" w:rsidRPr="00905E8F">
        <w:rPr>
          <w:rStyle w:val="ui-provider"/>
          <w:rFonts w:asciiTheme="minorHAnsi" w:eastAsiaTheme="majorEastAsia" w:hAnsiTheme="minorHAnsi" w:cstheme="minorHAnsi"/>
        </w:rPr>
        <w:t>consider all sources of leverage including cash contributions, regulatory incentives, and discounts or donations when determining project feasibility</w:t>
      </w:r>
      <w:r w:rsidRPr="00905E8F">
        <w:rPr>
          <w:rStyle w:val="ui-provider"/>
          <w:rFonts w:asciiTheme="minorHAnsi" w:eastAsiaTheme="majorEastAsia" w:hAnsiTheme="minorHAnsi" w:cstheme="minorHAnsi"/>
        </w:rPr>
        <w:t>.</w:t>
      </w:r>
      <w:r w:rsidR="00D73486" w:rsidRPr="00905E8F">
        <w:rPr>
          <w:rStyle w:val="ui-provider"/>
          <w:rFonts w:asciiTheme="minorHAnsi" w:eastAsiaTheme="majorEastAsia" w:hAnsiTheme="minorHAnsi" w:cstheme="minorHAnsi"/>
        </w:rPr>
        <w:t xml:space="preserve"> </w:t>
      </w:r>
      <w:r w:rsidR="005D7E7E">
        <w:rPr>
          <w:rStyle w:val="ui-provider"/>
          <w:rFonts w:asciiTheme="minorHAnsi" w:eastAsiaTheme="majorEastAsia" w:hAnsiTheme="minorHAnsi" w:cstheme="minorHAnsi"/>
        </w:rPr>
        <w:t>If including leverage</w:t>
      </w:r>
      <w:r w:rsidR="0068361B">
        <w:rPr>
          <w:rStyle w:val="ui-provider"/>
          <w:rFonts w:asciiTheme="minorHAnsi" w:eastAsiaTheme="majorEastAsia" w:hAnsiTheme="minorHAnsi" w:cstheme="minorHAnsi"/>
        </w:rPr>
        <w:t>d</w:t>
      </w:r>
      <w:r w:rsidR="005D7E7E">
        <w:rPr>
          <w:rStyle w:val="ui-provider"/>
          <w:rFonts w:asciiTheme="minorHAnsi" w:eastAsiaTheme="majorEastAsia" w:hAnsiTheme="minorHAnsi" w:cstheme="minorHAnsi"/>
        </w:rPr>
        <w:t xml:space="preserve"> funds, </w:t>
      </w:r>
      <w:r w:rsidR="00D73486" w:rsidRPr="00905E8F">
        <w:rPr>
          <w:rStyle w:val="ui-provider"/>
          <w:rFonts w:asciiTheme="minorHAnsi" w:eastAsiaTheme="majorEastAsia" w:hAnsiTheme="minorHAnsi" w:cstheme="minorHAnsi"/>
        </w:rPr>
        <w:t>Applicants must provide documentation (</w:t>
      </w:r>
      <w:r w:rsidR="0068361B">
        <w:rPr>
          <w:rStyle w:val="ui-provider"/>
          <w:rFonts w:asciiTheme="minorHAnsi" w:eastAsiaTheme="majorEastAsia" w:hAnsiTheme="minorHAnsi" w:cstheme="minorHAnsi"/>
        </w:rPr>
        <w:t>for example, an</w:t>
      </w:r>
      <w:r w:rsidR="00D73486" w:rsidRPr="00905E8F">
        <w:rPr>
          <w:rStyle w:val="ui-provider"/>
          <w:rFonts w:asciiTheme="minorHAnsi" w:eastAsiaTheme="majorEastAsia" w:hAnsiTheme="minorHAnsi" w:cstheme="minorHAnsi"/>
        </w:rPr>
        <w:t xml:space="preserve"> award letter, funding contract, etc.) of the committed leverage.</w:t>
      </w:r>
    </w:p>
    <w:p w14:paraId="27243CDA" w14:textId="362AD0A2" w:rsidR="00D73486" w:rsidRPr="00905E8F" w:rsidRDefault="00D73486" w:rsidP="00D87777">
      <w:pPr>
        <w:pStyle w:val="NormalWeb"/>
        <w:rPr>
          <w:rStyle w:val="ui-provider"/>
          <w:rFonts w:asciiTheme="minorHAnsi" w:eastAsiaTheme="majorEastAsia" w:hAnsiTheme="minorHAnsi" w:cstheme="minorHAnsi"/>
        </w:rPr>
      </w:pPr>
      <w:r w:rsidRPr="00905E8F">
        <w:rPr>
          <w:rStyle w:val="ui-provider"/>
          <w:rFonts w:asciiTheme="minorHAnsi" w:eastAsiaTheme="majorEastAsia" w:hAnsiTheme="minorHAnsi" w:cstheme="minorHAnsi"/>
        </w:rPr>
        <w:t>The documentation must include the following:</w:t>
      </w:r>
    </w:p>
    <w:p w14:paraId="3A2F6AEE" w14:textId="1457E612" w:rsidR="00D73486" w:rsidRPr="00905E8F" w:rsidRDefault="00D73486" w:rsidP="00541F2E">
      <w:pPr>
        <w:pStyle w:val="NormalWeb"/>
        <w:numPr>
          <w:ilvl w:val="0"/>
          <w:numId w:val="16"/>
        </w:numPr>
        <w:rPr>
          <w:rStyle w:val="ui-provider"/>
          <w:rFonts w:asciiTheme="minorHAnsi" w:eastAsiaTheme="majorEastAsia" w:hAnsiTheme="minorHAnsi" w:cstheme="minorHAnsi"/>
        </w:rPr>
      </w:pPr>
      <w:r w:rsidRPr="00905E8F">
        <w:rPr>
          <w:rStyle w:val="ui-provider"/>
          <w:rFonts w:asciiTheme="minorHAnsi" w:eastAsiaTheme="majorEastAsia" w:hAnsiTheme="minorHAnsi" w:cstheme="minorHAnsi"/>
        </w:rPr>
        <w:t xml:space="preserve">Name of the organization committing funding, the contact person, and his/her/their contact </w:t>
      </w:r>
      <w:proofErr w:type="gramStart"/>
      <w:r w:rsidRPr="00905E8F">
        <w:rPr>
          <w:rStyle w:val="ui-provider"/>
          <w:rFonts w:asciiTheme="minorHAnsi" w:eastAsiaTheme="majorEastAsia" w:hAnsiTheme="minorHAnsi" w:cstheme="minorHAnsi"/>
        </w:rPr>
        <w:t>information;</w:t>
      </w:r>
      <w:proofErr w:type="gramEnd"/>
    </w:p>
    <w:p w14:paraId="49AADAC5" w14:textId="631B8F6D" w:rsidR="00BF4369" w:rsidRDefault="00D73486" w:rsidP="00541F2E">
      <w:pPr>
        <w:pStyle w:val="NormalWeb"/>
        <w:numPr>
          <w:ilvl w:val="0"/>
          <w:numId w:val="16"/>
        </w:numPr>
        <w:rPr>
          <w:rStyle w:val="ui-provider"/>
          <w:rFonts w:asciiTheme="minorHAnsi" w:eastAsiaTheme="majorEastAsia" w:hAnsiTheme="minorHAnsi" w:cstheme="minorHAnsi"/>
        </w:rPr>
      </w:pPr>
      <w:r w:rsidRPr="00BF4369">
        <w:rPr>
          <w:rStyle w:val="ui-provider"/>
          <w:rFonts w:asciiTheme="minorHAnsi" w:eastAsiaTheme="majorEastAsia" w:hAnsiTheme="minorHAnsi" w:cstheme="minorHAnsi"/>
        </w:rPr>
        <w:t>The amount of cash committed to the proposed project;</w:t>
      </w:r>
    </w:p>
    <w:p w14:paraId="509EEA99" w14:textId="7645204C" w:rsidR="00905E8F" w:rsidRPr="00BF4369" w:rsidRDefault="00D73486" w:rsidP="00541F2E">
      <w:pPr>
        <w:pStyle w:val="NormalWeb"/>
        <w:numPr>
          <w:ilvl w:val="0"/>
          <w:numId w:val="16"/>
        </w:numPr>
        <w:rPr>
          <w:rStyle w:val="ui-provider"/>
          <w:rFonts w:asciiTheme="minorHAnsi" w:eastAsiaTheme="majorEastAsia" w:hAnsiTheme="minorHAnsi" w:cstheme="minorHAnsi"/>
        </w:rPr>
      </w:pPr>
      <w:r w:rsidRPr="00BF4369">
        <w:rPr>
          <w:rStyle w:val="ui-provider"/>
          <w:rFonts w:asciiTheme="minorHAnsi" w:eastAsiaTheme="majorEastAsia" w:hAnsiTheme="minorHAnsi" w:cstheme="minorHAnsi"/>
        </w:rPr>
        <w:t xml:space="preserve">The period of time the funds will be available for the </w:t>
      </w:r>
      <w:r w:rsidR="00C35526">
        <w:rPr>
          <w:rStyle w:val="ui-provider"/>
          <w:rFonts w:asciiTheme="minorHAnsi" w:eastAsiaTheme="majorEastAsia" w:hAnsiTheme="minorHAnsi" w:cstheme="minorHAnsi"/>
        </w:rPr>
        <w:t>A</w:t>
      </w:r>
      <w:r w:rsidRPr="00BF4369">
        <w:rPr>
          <w:rStyle w:val="ui-provider"/>
          <w:rFonts w:asciiTheme="minorHAnsi" w:eastAsiaTheme="majorEastAsia" w:hAnsiTheme="minorHAnsi" w:cstheme="minorHAnsi"/>
        </w:rPr>
        <w:t>pplicant’s use;</w:t>
      </w:r>
    </w:p>
    <w:p w14:paraId="122A5A10" w14:textId="02033899" w:rsidR="00905E8F" w:rsidRPr="00905E8F" w:rsidRDefault="00D73486" w:rsidP="00541F2E">
      <w:pPr>
        <w:pStyle w:val="NormalWeb"/>
        <w:numPr>
          <w:ilvl w:val="0"/>
          <w:numId w:val="16"/>
        </w:numPr>
        <w:rPr>
          <w:rStyle w:val="ui-provider"/>
          <w:rFonts w:asciiTheme="minorHAnsi" w:eastAsiaTheme="majorEastAsia" w:hAnsiTheme="minorHAnsi" w:cstheme="minorHAnsi"/>
        </w:rPr>
      </w:pPr>
      <w:r w:rsidRPr="00905E8F">
        <w:rPr>
          <w:rStyle w:val="ui-provider"/>
          <w:rFonts w:asciiTheme="minorHAnsi" w:eastAsiaTheme="majorEastAsia" w:hAnsiTheme="minorHAnsi" w:cstheme="minorHAnsi"/>
        </w:rPr>
        <w:t>The terms and conditions of the commitment</w:t>
      </w:r>
      <w:r w:rsidR="00905E8F" w:rsidRPr="00905E8F">
        <w:rPr>
          <w:rStyle w:val="ui-provider"/>
          <w:rFonts w:asciiTheme="minorHAnsi" w:eastAsiaTheme="majorEastAsia" w:hAnsiTheme="minorHAnsi" w:cstheme="minorHAnsi"/>
        </w:rPr>
        <w:t>, and</w:t>
      </w:r>
    </w:p>
    <w:p w14:paraId="4CF9A206" w14:textId="239295CB" w:rsidR="00D73486" w:rsidRPr="00905E8F" w:rsidRDefault="00D73486" w:rsidP="00541F2E">
      <w:pPr>
        <w:pStyle w:val="NormalWeb"/>
        <w:numPr>
          <w:ilvl w:val="0"/>
          <w:numId w:val="16"/>
        </w:numPr>
        <w:rPr>
          <w:rStyle w:val="ui-provider"/>
          <w:rFonts w:asciiTheme="minorHAnsi" w:eastAsiaTheme="majorEastAsia" w:hAnsiTheme="minorHAnsi" w:cstheme="minorHAnsi"/>
        </w:rPr>
      </w:pPr>
      <w:r w:rsidRPr="00905E8F">
        <w:rPr>
          <w:rStyle w:val="ui-provider"/>
          <w:rFonts w:asciiTheme="minorHAnsi" w:eastAsiaTheme="majorEastAsia" w:hAnsiTheme="minorHAnsi" w:cstheme="minorHAnsi"/>
        </w:rPr>
        <w:lastRenderedPageBreak/>
        <w:t>How funds are to be used (</w:t>
      </w:r>
      <w:r w:rsidR="0068361B">
        <w:rPr>
          <w:rStyle w:val="ui-provider"/>
          <w:rFonts w:asciiTheme="minorHAnsi" w:eastAsiaTheme="majorEastAsia" w:hAnsiTheme="minorHAnsi" w:cstheme="minorHAnsi"/>
        </w:rPr>
        <w:t>for example</w:t>
      </w:r>
      <w:r w:rsidRPr="00905E8F">
        <w:rPr>
          <w:rStyle w:val="ui-provider"/>
          <w:rFonts w:asciiTheme="minorHAnsi" w:eastAsiaTheme="majorEastAsia" w:hAnsiTheme="minorHAnsi" w:cstheme="minorHAnsi"/>
        </w:rPr>
        <w:t>, lump sum allocated to a project or pipeline funds available on an ongoing basis, etc.)</w:t>
      </w:r>
    </w:p>
    <w:p w14:paraId="15D5539A" w14:textId="49895666" w:rsidR="00D73486" w:rsidRPr="00905E8F" w:rsidRDefault="00001DE6" w:rsidP="00D87777">
      <w:pPr>
        <w:pStyle w:val="NormalWeb"/>
        <w:rPr>
          <w:rStyle w:val="ui-provider"/>
          <w:rFonts w:asciiTheme="minorHAnsi" w:eastAsiaTheme="majorEastAsia" w:hAnsiTheme="minorHAnsi" w:cstheme="minorHAnsi"/>
        </w:rPr>
      </w:pPr>
      <w:r>
        <w:rPr>
          <w:rStyle w:val="ui-provider"/>
          <w:rFonts w:asciiTheme="minorHAnsi" w:eastAsiaTheme="majorEastAsia" w:hAnsiTheme="minorHAnsi" w:cstheme="minorHAnsi"/>
        </w:rPr>
        <w:t>Letters of commitment should be submitted with the application, if available.</w:t>
      </w:r>
    </w:p>
    <w:p w14:paraId="3E5486E9" w14:textId="34C47619" w:rsidR="004E1223" w:rsidRDefault="00FA5E91" w:rsidP="00541F2E">
      <w:pPr>
        <w:pStyle w:val="Heading2"/>
        <w:numPr>
          <w:ilvl w:val="0"/>
          <w:numId w:val="14"/>
        </w:numPr>
      </w:pPr>
      <w:bookmarkStart w:id="33" w:name="_Toc188863864"/>
      <w:r w:rsidRPr="00FA5E91">
        <w:t xml:space="preserve">Pre-Award </w:t>
      </w:r>
      <w:r w:rsidR="00BE56D8">
        <w:t>Risk Assessment</w:t>
      </w:r>
      <w:bookmarkEnd w:id="31"/>
      <w:bookmarkEnd w:id="33"/>
    </w:p>
    <w:p w14:paraId="7D112C3C" w14:textId="4D399935" w:rsidR="00DE618A" w:rsidRDefault="00DE618A" w:rsidP="00DE618A">
      <w:pPr>
        <w:spacing w:after="0"/>
        <w:rPr>
          <w:rFonts w:cs="Calibri"/>
          <w:szCs w:val="24"/>
        </w:rPr>
      </w:pPr>
      <w:bookmarkStart w:id="34" w:name="_Hlk157412601"/>
      <w:r w:rsidRPr="00EE6A20">
        <w:rPr>
          <w:rFonts w:eastAsia="Calibri" w:cs="Calibri"/>
          <w:color w:val="000000"/>
          <w:szCs w:val="24"/>
        </w:rPr>
        <w:t xml:space="preserve">Per </w:t>
      </w:r>
      <w:hyperlink r:id="rId15" w:history="1">
        <w:r w:rsidRPr="00F73E27">
          <w:rPr>
            <w:rStyle w:val="Hyperlink"/>
            <w:rFonts w:asciiTheme="minorHAnsi" w:eastAsia="Calibri" w:hAnsiTheme="minorHAnsi" w:cstheme="minorHAnsi"/>
            <w:szCs w:val="24"/>
          </w:rPr>
          <w:t>Minn. Stat. §16B.981</w:t>
        </w:r>
      </w:hyperlink>
      <w:r>
        <w:rPr>
          <w:rFonts w:asciiTheme="minorHAnsi" w:eastAsia="Calibri" w:hAnsiTheme="minorHAnsi" w:cstheme="minorHAnsi"/>
          <w:color w:val="000000"/>
          <w:szCs w:val="24"/>
        </w:rPr>
        <w:t>,</w:t>
      </w:r>
      <w:r>
        <w:rPr>
          <w:rFonts w:eastAsia="Calibri" w:cs="Calibri"/>
          <w:color w:val="000000"/>
          <w:szCs w:val="24"/>
        </w:rPr>
        <w:t xml:space="preserve"> </w:t>
      </w:r>
      <w:r w:rsidRPr="00EE6A20">
        <w:rPr>
          <w:rFonts w:eastAsia="Calibri" w:cs="Calibri"/>
          <w:szCs w:val="24"/>
        </w:rPr>
        <w:t xml:space="preserve">Minnesota Housing is required to conduct a </w:t>
      </w:r>
      <w:r w:rsidR="0068361B">
        <w:rPr>
          <w:rFonts w:eastAsia="Calibri" w:cs="Calibri"/>
          <w:szCs w:val="24"/>
        </w:rPr>
        <w:t>P</w:t>
      </w:r>
      <w:r w:rsidRPr="00EE6A20">
        <w:rPr>
          <w:rFonts w:eastAsia="Calibri" w:cs="Calibri"/>
          <w:szCs w:val="24"/>
        </w:rPr>
        <w:t>re-</w:t>
      </w:r>
      <w:r w:rsidR="0068361B">
        <w:rPr>
          <w:rFonts w:eastAsia="Calibri" w:cs="Calibri"/>
          <w:szCs w:val="24"/>
        </w:rPr>
        <w:t>A</w:t>
      </w:r>
      <w:r w:rsidRPr="00EE6A20">
        <w:rPr>
          <w:rFonts w:eastAsia="Calibri" w:cs="Calibri"/>
          <w:szCs w:val="24"/>
        </w:rPr>
        <w:t xml:space="preserve">ward </w:t>
      </w:r>
      <w:r w:rsidR="0068361B">
        <w:rPr>
          <w:rFonts w:eastAsia="Calibri" w:cs="Calibri"/>
          <w:szCs w:val="24"/>
        </w:rPr>
        <w:t>R</w:t>
      </w:r>
      <w:r w:rsidRPr="00EE6A20">
        <w:rPr>
          <w:rFonts w:eastAsia="Calibri" w:cs="Calibri"/>
          <w:szCs w:val="24"/>
        </w:rPr>
        <w:t xml:space="preserve">isk </w:t>
      </w:r>
      <w:r w:rsidR="0068361B">
        <w:rPr>
          <w:rFonts w:eastAsia="Calibri" w:cs="Calibri"/>
          <w:szCs w:val="24"/>
        </w:rPr>
        <w:t>A</w:t>
      </w:r>
      <w:r w:rsidRPr="00EE6A20">
        <w:rPr>
          <w:rFonts w:eastAsia="Calibri" w:cs="Calibri"/>
          <w:szCs w:val="24"/>
        </w:rPr>
        <w:t>ssessment of</w:t>
      </w:r>
      <w:r>
        <w:rPr>
          <w:rFonts w:eastAsia="Calibri" w:cs="Calibri"/>
          <w:szCs w:val="24"/>
        </w:rPr>
        <w:t xml:space="preserve"> </w:t>
      </w:r>
      <w:r w:rsidR="00144C12">
        <w:rPr>
          <w:rFonts w:eastAsia="Calibri" w:cs="Calibri"/>
          <w:szCs w:val="24"/>
        </w:rPr>
        <w:t xml:space="preserve">potential grantees </w:t>
      </w:r>
      <w:r w:rsidRPr="00EE6A20">
        <w:rPr>
          <w:rFonts w:eastAsia="Calibri" w:cs="Calibri"/>
          <w:szCs w:val="24"/>
        </w:rPr>
        <w:t>requesting grant awards of $50,000 or more</w:t>
      </w:r>
      <w:r>
        <w:rPr>
          <w:rFonts w:eastAsia="Calibri" w:cs="Calibri"/>
          <w:szCs w:val="24"/>
        </w:rPr>
        <w:t xml:space="preserve">. </w:t>
      </w:r>
      <w:bookmarkStart w:id="35" w:name="_Hlk156310592"/>
      <w:r w:rsidRPr="00EE6A20">
        <w:rPr>
          <w:rFonts w:cs="Calibri"/>
          <w:szCs w:val="24"/>
        </w:rPr>
        <w:t>The information submitted</w:t>
      </w:r>
      <w:r>
        <w:rPr>
          <w:rFonts w:cs="Calibri"/>
          <w:szCs w:val="24"/>
        </w:rPr>
        <w:t xml:space="preserve"> by </w:t>
      </w:r>
      <w:r w:rsidR="000B504A">
        <w:rPr>
          <w:rFonts w:cs="Calibri"/>
          <w:szCs w:val="24"/>
        </w:rPr>
        <w:t>potential grantees</w:t>
      </w:r>
      <w:r w:rsidR="000B504A" w:rsidRPr="00EE6A20">
        <w:rPr>
          <w:rFonts w:cs="Calibri"/>
          <w:szCs w:val="24"/>
        </w:rPr>
        <w:t xml:space="preserve"> </w:t>
      </w:r>
      <w:r w:rsidRPr="00EE6A20">
        <w:rPr>
          <w:rFonts w:cs="Calibri"/>
          <w:szCs w:val="24"/>
        </w:rPr>
        <w:t>will be used to assess</w:t>
      </w:r>
      <w:r>
        <w:rPr>
          <w:rFonts w:cs="Calibri"/>
          <w:szCs w:val="24"/>
        </w:rPr>
        <w:t xml:space="preserve"> the risk that </w:t>
      </w:r>
      <w:r w:rsidR="000B504A">
        <w:rPr>
          <w:rFonts w:cs="Calibri"/>
          <w:szCs w:val="24"/>
        </w:rPr>
        <w:t>a potential grantee</w:t>
      </w:r>
      <w:r w:rsidR="00F80319">
        <w:rPr>
          <w:rFonts w:cs="Calibri"/>
          <w:szCs w:val="24"/>
        </w:rPr>
        <w:t xml:space="preserve"> </w:t>
      </w:r>
      <w:r>
        <w:rPr>
          <w:rFonts w:cs="Calibri"/>
          <w:szCs w:val="24"/>
        </w:rPr>
        <w:t xml:space="preserve">cannot or would not perform the required duties of the grant. Minnesota Housing will review the </w:t>
      </w:r>
      <w:r w:rsidR="000B504A">
        <w:rPr>
          <w:rFonts w:cs="Calibri"/>
          <w:szCs w:val="24"/>
        </w:rPr>
        <w:t xml:space="preserve">potential grantee’s </w:t>
      </w:r>
      <w:r>
        <w:rPr>
          <w:rFonts w:cs="Calibri"/>
          <w:szCs w:val="24"/>
        </w:rPr>
        <w:t>past performance,</w:t>
      </w:r>
      <w:r w:rsidRPr="00EE6A20">
        <w:rPr>
          <w:rFonts w:cs="Calibri"/>
          <w:szCs w:val="24"/>
        </w:rPr>
        <w:t xml:space="preserve"> </w:t>
      </w:r>
      <w:r>
        <w:rPr>
          <w:rFonts w:cs="Calibri"/>
          <w:szCs w:val="24"/>
        </w:rPr>
        <w:t>tax returns, audits, principals and standing with the Secretary of State.</w:t>
      </w:r>
    </w:p>
    <w:p w14:paraId="16DAE34C" w14:textId="77777777" w:rsidR="00DE618A" w:rsidRDefault="00DE618A" w:rsidP="00DE618A">
      <w:pPr>
        <w:spacing w:after="0"/>
        <w:rPr>
          <w:rFonts w:cs="Calibri"/>
          <w:szCs w:val="24"/>
        </w:rPr>
      </w:pPr>
      <w:r>
        <w:rPr>
          <w:rFonts w:cs="Calibri"/>
          <w:szCs w:val="24"/>
        </w:rPr>
        <w:t>Minnesota Housing will determine whether:</w:t>
      </w:r>
    </w:p>
    <w:p w14:paraId="664EAADB" w14:textId="11CDC94F" w:rsidR="00DE618A" w:rsidRDefault="00DE618A" w:rsidP="00541F2E">
      <w:pPr>
        <w:pStyle w:val="ListParagraph"/>
        <w:numPr>
          <w:ilvl w:val="0"/>
          <w:numId w:val="7"/>
        </w:numPr>
        <w:spacing w:after="0" w:line="240" w:lineRule="auto"/>
        <w:rPr>
          <w:rFonts w:cs="Calibri"/>
          <w:szCs w:val="24"/>
        </w:rPr>
      </w:pPr>
      <w:r>
        <w:rPr>
          <w:rFonts w:cs="Calibri"/>
          <w:szCs w:val="24"/>
        </w:rPr>
        <w:t xml:space="preserve">The </w:t>
      </w:r>
      <w:r w:rsidR="000B504A">
        <w:rPr>
          <w:rFonts w:cs="Calibri"/>
          <w:szCs w:val="24"/>
        </w:rPr>
        <w:t xml:space="preserve">potential grantee </w:t>
      </w:r>
      <w:r>
        <w:rPr>
          <w:rFonts w:cs="Calibri"/>
          <w:szCs w:val="24"/>
        </w:rPr>
        <w:t>would likely be able to perform the duties of the grant without additional conditions,</w:t>
      </w:r>
    </w:p>
    <w:p w14:paraId="72FD8200" w14:textId="7B778F94" w:rsidR="00DE618A" w:rsidRDefault="00DE618A" w:rsidP="00541F2E">
      <w:pPr>
        <w:pStyle w:val="ListParagraph"/>
        <w:numPr>
          <w:ilvl w:val="0"/>
          <w:numId w:val="7"/>
        </w:numPr>
        <w:spacing w:after="0" w:line="240" w:lineRule="auto"/>
        <w:rPr>
          <w:rFonts w:cs="Calibri"/>
          <w:szCs w:val="24"/>
        </w:rPr>
      </w:pPr>
      <w:r>
        <w:rPr>
          <w:rFonts w:cs="Calibri"/>
          <w:szCs w:val="24"/>
        </w:rPr>
        <w:t xml:space="preserve">The </w:t>
      </w:r>
      <w:r w:rsidR="000B504A">
        <w:rPr>
          <w:rFonts w:cs="Calibri"/>
          <w:szCs w:val="24"/>
        </w:rPr>
        <w:t xml:space="preserve">potential grantee </w:t>
      </w:r>
      <w:r>
        <w:rPr>
          <w:rFonts w:cs="Calibri"/>
          <w:szCs w:val="24"/>
        </w:rPr>
        <w:t xml:space="preserve">would likely be able to perform the duties of the grant with additional technical assistance or conditions placed on the </w:t>
      </w:r>
      <w:r w:rsidR="000B504A">
        <w:rPr>
          <w:rFonts w:cs="Calibri"/>
          <w:szCs w:val="24"/>
        </w:rPr>
        <w:t>potential grantee</w:t>
      </w:r>
      <w:r>
        <w:rPr>
          <w:rFonts w:cs="Calibri"/>
          <w:szCs w:val="24"/>
        </w:rPr>
        <w:t>, or</w:t>
      </w:r>
    </w:p>
    <w:p w14:paraId="0271302A" w14:textId="6FF37E43" w:rsidR="00DE618A" w:rsidRPr="008651FD" w:rsidRDefault="00DE618A" w:rsidP="00541F2E">
      <w:pPr>
        <w:pStyle w:val="ListParagraph"/>
        <w:numPr>
          <w:ilvl w:val="0"/>
          <w:numId w:val="7"/>
        </w:numPr>
        <w:spacing w:after="0" w:line="240" w:lineRule="auto"/>
        <w:rPr>
          <w:rFonts w:cs="Calibri"/>
          <w:szCs w:val="24"/>
        </w:rPr>
      </w:pPr>
      <w:r>
        <w:rPr>
          <w:rFonts w:cs="Calibri"/>
          <w:szCs w:val="24"/>
        </w:rPr>
        <w:t xml:space="preserve">There is a </w:t>
      </w:r>
      <w:r w:rsidRPr="00177738">
        <w:rPr>
          <w:rFonts w:cs="Calibri"/>
          <w:szCs w:val="24"/>
        </w:rPr>
        <w:t>substantial risk</w:t>
      </w:r>
      <w:r>
        <w:rPr>
          <w:rFonts w:cs="Calibri"/>
          <w:szCs w:val="24"/>
        </w:rPr>
        <w:t xml:space="preserve"> that the </w:t>
      </w:r>
      <w:r w:rsidR="000B504A">
        <w:rPr>
          <w:rFonts w:cs="Calibri"/>
          <w:szCs w:val="24"/>
        </w:rPr>
        <w:t xml:space="preserve">potential grantee </w:t>
      </w:r>
      <w:r>
        <w:rPr>
          <w:rFonts w:cs="Calibri"/>
          <w:szCs w:val="24"/>
        </w:rPr>
        <w:t>cannot or would not perform the required duties of the grant.</w:t>
      </w:r>
    </w:p>
    <w:bookmarkEnd w:id="34"/>
    <w:bookmarkEnd w:id="35"/>
    <w:p w14:paraId="750C8456" w14:textId="6B3FC0BB" w:rsidR="00DE618A" w:rsidRDefault="00DE618A" w:rsidP="00DE618A">
      <w:pPr>
        <w:spacing w:after="0"/>
        <w:rPr>
          <w:rFonts w:cs="Calibri"/>
          <w:szCs w:val="24"/>
        </w:rPr>
      </w:pPr>
      <w:r>
        <w:rPr>
          <w:rFonts w:cs="Calibri"/>
          <w:szCs w:val="24"/>
        </w:rPr>
        <w:t xml:space="preserve">The </w:t>
      </w:r>
      <w:r w:rsidR="0068361B">
        <w:rPr>
          <w:rFonts w:cs="Calibri"/>
          <w:szCs w:val="24"/>
        </w:rPr>
        <w:t>P</w:t>
      </w:r>
      <w:r>
        <w:rPr>
          <w:rFonts w:cs="Calibri"/>
          <w:szCs w:val="24"/>
        </w:rPr>
        <w:t>re-</w:t>
      </w:r>
      <w:r w:rsidR="0068361B">
        <w:rPr>
          <w:rFonts w:cs="Calibri"/>
          <w:szCs w:val="24"/>
        </w:rPr>
        <w:t>A</w:t>
      </w:r>
      <w:r>
        <w:rPr>
          <w:rFonts w:cs="Calibri"/>
          <w:szCs w:val="24"/>
        </w:rPr>
        <w:t xml:space="preserve">ward </w:t>
      </w:r>
      <w:r w:rsidR="0068361B">
        <w:rPr>
          <w:rFonts w:cs="Calibri"/>
          <w:szCs w:val="24"/>
        </w:rPr>
        <w:t>R</w:t>
      </w:r>
      <w:r>
        <w:rPr>
          <w:rFonts w:cs="Calibri"/>
          <w:szCs w:val="24"/>
        </w:rPr>
        <w:t xml:space="preserve">isk </w:t>
      </w:r>
      <w:r w:rsidR="0068361B">
        <w:rPr>
          <w:rFonts w:cs="Calibri"/>
          <w:szCs w:val="24"/>
        </w:rPr>
        <w:t>A</w:t>
      </w:r>
      <w:r>
        <w:rPr>
          <w:rFonts w:cs="Calibri"/>
          <w:szCs w:val="24"/>
        </w:rPr>
        <w:t>ssessment will include the following components:</w:t>
      </w:r>
    </w:p>
    <w:p w14:paraId="7C3DCC34" w14:textId="5E9E72CE" w:rsidR="00DE618A" w:rsidRDefault="00DE618A" w:rsidP="00541F2E">
      <w:pPr>
        <w:pStyle w:val="ListParagraph"/>
        <w:numPr>
          <w:ilvl w:val="0"/>
          <w:numId w:val="6"/>
        </w:numPr>
        <w:spacing w:after="0"/>
        <w:rPr>
          <w:rFonts w:cs="Calibri"/>
          <w:szCs w:val="24"/>
        </w:rPr>
      </w:pPr>
      <w:r>
        <w:rPr>
          <w:rFonts w:cs="Calibri"/>
          <w:szCs w:val="24"/>
        </w:rPr>
        <w:t xml:space="preserve">A Risk Assessment Form with questions to be completed </w:t>
      </w:r>
      <w:r w:rsidR="00A91569">
        <w:rPr>
          <w:rFonts w:cs="Calibri"/>
          <w:szCs w:val="24"/>
        </w:rPr>
        <w:t>as part of the application</w:t>
      </w:r>
    </w:p>
    <w:p w14:paraId="69CFD58F" w14:textId="77777777" w:rsidR="00DE618A" w:rsidRDefault="00DE618A" w:rsidP="00541F2E">
      <w:pPr>
        <w:pStyle w:val="ListParagraph"/>
        <w:numPr>
          <w:ilvl w:val="0"/>
          <w:numId w:val="6"/>
        </w:numPr>
        <w:spacing w:after="0"/>
        <w:rPr>
          <w:rFonts w:cs="Calibri"/>
          <w:szCs w:val="24"/>
        </w:rPr>
      </w:pPr>
      <w:r>
        <w:rPr>
          <w:rFonts w:cs="Calibri"/>
          <w:szCs w:val="24"/>
        </w:rPr>
        <w:t>Financial Information as applicable to the applicant organization and detailed on the Risk Assessment Form</w:t>
      </w:r>
    </w:p>
    <w:p w14:paraId="6540B3BA" w14:textId="77777777" w:rsidR="00DE618A" w:rsidRDefault="00DE618A" w:rsidP="00541F2E">
      <w:pPr>
        <w:pStyle w:val="ListParagraph"/>
        <w:numPr>
          <w:ilvl w:val="0"/>
          <w:numId w:val="6"/>
        </w:numPr>
        <w:spacing w:after="0"/>
        <w:rPr>
          <w:rFonts w:cs="Calibri"/>
          <w:szCs w:val="24"/>
        </w:rPr>
      </w:pPr>
      <w:r>
        <w:rPr>
          <w:rFonts w:cs="Calibri"/>
          <w:szCs w:val="24"/>
        </w:rPr>
        <w:t>Evidence of good standing with the Minnesota Secretary of State</w:t>
      </w:r>
    </w:p>
    <w:p w14:paraId="7E3BCC2B" w14:textId="0F715BEA" w:rsidR="00DE618A" w:rsidRDefault="00DE618A" w:rsidP="00541F2E">
      <w:pPr>
        <w:pStyle w:val="ListParagraph"/>
        <w:numPr>
          <w:ilvl w:val="0"/>
          <w:numId w:val="6"/>
        </w:numPr>
        <w:spacing w:after="0"/>
        <w:rPr>
          <w:rFonts w:cs="Calibri"/>
          <w:szCs w:val="24"/>
        </w:rPr>
      </w:pPr>
      <w:r>
        <w:rPr>
          <w:rFonts w:cs="Calibri"/>
          <w:szCs w:val="24"/>
        </w:rPr>
        <w:t xml:space="preserve">Certification of no convictions of felony financial crimes by a principal, along with a list of principals </w:t>
      </w:r>
      <w:r w:rsidR="00A91569">
        <w:rPr>
          <w:rFonts w:cs="Calibri"/>
          <w:szCs w:val="24"/>
        </w:rPr>
        <w:t>being certified</w:t>
      </w:r>
    </w:p>
    <w:p w14:paraId="4ACE3BC2" w14:textId="35B75FCB" w:rsidR="00F80319" w:rsidRDefault="00BB78E1" w:rsidP="00F80319">
      <w:pPr>
        <w:spacing w:after="0"/>
        <w:rPr>
          <w:rFonts w:cs="Calibri"/>
          <w:szCs w:val="24"/>
        </w:rPr>
      </w:pPr>
      <w:bookmarkStart w:id="36" w:name="_Hlk156310616"/>
      <w:r>
        <w:rPr>
          <w:rFonts w:cs="Calibri"/>
          <w:szCs w:val="24"/>
        </w:rPr>
        <w:t>To</w:t>
      </w:r>
      <w:r w:rsidR="00F80319" w:rsidRPr="00F80319">
        <w:rPr>
          <w:rFonts w:cs="Calibri"/>
          <w:szCs w:val="24"/>
        </w:rPr>
        <w:t xml:space="preserve"> complete this assessment, Minnesota Housing may request additional information which must be provided by the </w:t>
      </w:r>
      <w:r w:rsidR="00A91569">
        <w:rPr>
          <w:rFonts w:cs="Calibri"/>
          <w:szCs w:val="24"/>
        </w:rPr>
        <w:t>potential grantee</w:t>
      </w:r>
      <w:r w:rsidR="00F80319" w:rsidRPr="00F80319">
        <w:rPr>
          <w:rFonts w:cs="Calibri"/>
          <w:szCs w:val="24"/>
        </w:rPr>
        <w:t>. Minnesota Housing</w:t>
      </w:r>
      <w:r w:rsidR="00A91569">
        <w:rPr>
          <w:rFonts w:cs="Calibri"/>
          <w:szCs w:val="24"/>
        </w:rPr>
        <w:t xml:space="preserve"> will notify a potential grantee if it</w:t>
      </w:r>
      <w:r w:rsidR="00F80319" w:rsidRPr="00F80319">
        <w:rPr>
          <w:rFonts w:cs="Calibri"/>
          <w:szCs w:val="24"/>
        </w:rPr>
        <w:t xml:space="preserve"> is unable to satisfy its concerns </w:t>
      </w:r>
      <w:r w:rsidR="00A91569">
        <w:rPr>
          <w:rFonts w:cs="Calibri"/>
          <w:szCs w:val="24"/>
        </w:rPr>
        <w:t>by working with the potential grantee</w:t>
      </w:r>
      <w:r w:rsidR="00F80319" w:rsidRPr="00F80319">
        <w:rPr>
          <w:rFonts w:cs="Calibri"/>
          <w:szCs w:val="24"/>
        </w:rPr>
        <w:t xml:space="preserve">. This notification will include information on the </w:t>
      </w:r>
      <w:r w:rsidR="000B504A">
        <w:rPr>
          <w:rFonts w:cs="Calibri"/>
          <w:szCs w:val="24"/>
        </w:rPr>
        <w:t>decision</w:t>
      </w:r>
      <w:r w:rsidR="000B504A" w:rsidRPr="00F80319">
        <w:rPr>
          <w:rFonts w:cs="Calibri"/>
          <w:szCs w:val="24"/>
        </w:rPr>
        <w:t xml:space="preserve"> </w:t>
      </w:r>
      <w:r w:rsidR="00F80319" w:rsidRPr="00F80319">
        <w:rPr>
          <w:rFonts w:cs="Calibri"/>
          <w:szCs w:val="24"/>
        </w:rPr>
        <w:t xml:space="preserve">and options </w:t>
      </w:r>
      <w:r w:rsidR="000B504A">
        <w:rPr>
          <w:rFonts w:cs="Calibri"/>
          <w:szCs w:val="24"/>
        </w:rPr>
        <w:t>to request reconsideration of</w:t>
      </w:r>
      <w:r w:rsidR="00F80319" w:rsidRPr="00F80319">
        <w:rPr>
          <w:rFonts w:cs="Calibri"/>
          <w:szCs w:val="24"/>
        </w:rPr>
        <w:t xml:space="preserve"> the </w:t>
      </w:r>
      <w:r w:rsidR="000B504A">
        <w:rPr>
          <w:rFonts w:cs="Calibri"/>
          <w:szCs w:val="24"/>
        </w:rPr>
        <w:t>decision</w:t>
      </w:r>
      <w:r w:rsidR="00F80319" w:rsidRPr="00F80319">
        <w:rPr>
          <w:rFonts w:cs="Calibri"/>
          <w:szCs w:val="24"/>
        </w:rPr>
        <w:t>.</w:t>
      </w:r>
    </w:p>
    <w:p w14:paraId="58951227" w14:textId="77777777" w:rsidR="008849C2" w:rsidRPr="008849C2" w:rsidRDefault="008849C2" w:rsidP="008849C2">
      <w:pPr>
        <w:spacing w:after="0"/>
        <w:rPr>
          <w:rFonts w:cs="Calibri"/>
          <w:szCs w:val="24"/>
        </w:rPr>
      </w:pPr>
      <w:r w:rsidRPr="008849C2">
        <w:rPr>
          <w:rFonts w:cs="Calibri"/>
          <w:szCs w:val="24"/>
        </w:rPr>
        <w:t>The submission of inaccurate or misleading information may be grounds for disqualification from a grant award and may subject an organization to suspension or debarment proceedings, as well as other remedies available to Minnesota Housing, by law.</w:t>
      </w:r>
    </w:p>
    <w:p w14:paraId="64D7686D" w14:textId="5B5AA423" w:rsidR="00F80319" w:rsidRDefault="00F80319" w:rsidP="00F80319">
      <w:pPr>
        <w:spacing w:after="0"/>
        <w:rPr>
          <w:rFonts w:cs="Calibri"/>
          <w:szCs w:val="24"/>
        </w:rPr>
      </w:pPr>
      <w:r w:rsidRPr="00F80319">
        <w:rPr>
          <w:rFonts w:cs="Calibri"/>
          <w:szCs w:val="24"/>
        </w:rPr>
        <w:lastRenderedPageBreak/>
        <w:t xml:space="preserve">The results of this </w:t>
      </w:r>
      <w:r w:rsidR="0068361B">
        <w:rPr>
          <w:rFonts w:cs="Calibri"/>
          <w:szCs w:val="24"/>
        </w:rPr>
        <w:t>P</w:t>
      </w:r>
      <w:r w:rsidRPr="00F80319">
        <w:rPr>
          <w:rFonts w:cs="Calibri"/>
          <w:szCs w:val="24"/>
        </w:rPr>
        <w:t>re-</w:t>
      </w:r>
      <w:r w:rsidR="0068361B">
        <w:rPr>
          <w:rFonts w:cs="Calibri"/>
          <w:szCs w:val="24"/>
        </w:rPr>
        <w:t>A</w:t>
      </w:r>
      <w:r w:rsidRPr="00F80319">
        <w:rPr>
          <w:rFonts w:cs="Calibri"/>
          <w:szCs w:val="24"/>
        </w:rPr>
        <w:t xml:space="preserve">ward </w:t>
      </w:r>
      <w:r w:rsidR="0068361B">
        <w:rPr>
          <w:rFonts w:cs="Calibri"/>
          <w:szCs w:val="24"/>
        </w:rPr>
        <w:t>R</w:t>
      </w:r>
      <w:r w:rsidRPr="00F80319">
        <w:rPr>
          <w:rFonts w:cs="Calibri"/>
          <w:szCs w:val="24"/>
        </w:rPr>
        <w:t xml:space="preserve">isk </w:t>
      </w:r>
      <w:r w:rsidR="0068361B">
        <w:rPr>
          <w:rFonts w:cs="Calibri"/>
          <w:szCs w:val="24"/>
        </w:rPr>
        <w:t>A</w:t>
      </w:r>
      <w:r w:rsidRPr="00F80319">
        <w:rPr>
          <w:rFonts w:cs="Calibri"/>
          <w:szCs w:val="24"/>
        </w:rPr>
        <w:t xml:space="preserve">ssessment will not impact scoring of </w:t>
      </w:r>
      <w:r w:rsidR="007371E4">
        <w:rPr>
          <w:rFonts w:cs="Calibri"/>
          <w:szCs w:val="24"/>
        </w:rPr>
        <w:t>an</w:t>
      </w:r>
      <w:r>
        <w:rPr>
          <w:rFonts w:cs="Calibri"/>
          <w:szCs w:val="24"/>
        </w:rPr>
        <w:t xml:space="preserve"> </w:t>
      </w:r>
      <w:r w:rsidRPr="00F80319">
        <w:rPr>
          <w:rFonts w:cs="Calibri"/>
          <w:szCs w:val="24"/>
        </w:rPr>
        <w:t>organization’s competitive application for grant funds.</w:t>
      </w:r>
      <w:bookmarkEnd w:id="36"/>
    </w:p>
    <w:p w14:paraId="50A77323" w14:textId="07D1B176" w:rsidR="00300946" w:rsidRPr="00300946" w:rsidRDefault="00300946" w:rsidP="00300946">
      <w:pPr>
        <w:spacing w:after="0"/>
        <w:rPr>
          <w:rFonts w:asciiTheme="minorHAnsi" w:hAnsiTheme="minorHAnsi"/>
          <w:szCs w:val="24"/>
          <w:u w:val="single"/>
        </w:rPr>
      </w:pPr>
      <w:bookmarkStart w:id="37" w:name="_Hlk160280349"/>
      <w:r>
        <w:rPr>
          <w:rFonts w:cs="Calibri"/>
          <w:szCs w:val="24"/>
        </w:rPr>
        <w:t xml:space="preserve">Note: </w:t>
      </w:r>
      <w:r w:rsidRPr="00300946">
        <w:rPr>
          <w:rFonts w:cs="Calibri"/>
          <w:szCs w:val="24"/>
        </w:rPr>
        <w:t xml:space="preserve">Tribal governments are not </w:t>
      </w:r>
      <w:r>
        <w:rPr>
          <w:rFonts w:cs="Calibri"/>
          <w:szCs w:val="24"/>
        </w:rPr>
        <w:t>subject to the Pre-</w:t>
      </w:r>
      <w:r w:rsidR="0068361B">
        <w:rPr>
          <w:rFonts w:cs="Calibri"/>
          <w:szCs w:val="24"/>
        </w:rPr>
        <w:t>A</w:t>
      </w:r>
      <w:r>
        <w:rPr>
          <w:rFonts w:cs="Calibri"/>
          <w:szCs w:val="24"/>
        </w:rPr>
        <w:t>ward Risk Assessment</w:t>
      </w:r>
      <w:r w:rsidRPr="00300946">
        <w:rPr>
          <w:rFonts w:cs="Calibri"/>
          <w:szCs w:val="24"/>
        </w:rPr>
        <w:t xml:space="preserve">. Tribal-affiliated organizations with a nonprofit or for-profit business designation with the Minnesota Secretary of State are subject to </w:t>
      </w:r>
      <w:r>
        <w:rPr>
          <w:rFonts w:cs="Calibri"/>
          <w:szCs w:val="24"/>
        </w:rPr>
        <w:t>the requirements.</w:t>
      </w:r>
    </w:p>
    <w:p w14:paraId="58792D3D" w14:textId="281B56B8" w:rsidR="000C685D" w:rsidRDefault="00D8567E" w:rsidP="00B50019">
      <w:pPr>
        <w:pStyle w:val="Heading2"/>
        <w:ind w:left="360" w:hanging="360"/>
      </w:pPr>
      <w:bookmarkStart w:id="38" w:name="_Toc188863865"/>
      <w:bookmarkStart w:id="39" w:name="_Toc162441880"/>
      <w:bookmarkEnd w:id="37"/>
      <w:r>
        <w:t xml:space="preserve">I. </w:t>
      </w:r>
      <w:r w:rsidR="00B50019">
        <w:tab/>
      </w:r>
      <w:r w:rsidR="000C685D">
        <w:t>Application</w:t>
      </w:r>
      <w:bookmarkEnd w:id="38"/>
    </w:p>
    <w:p w14:paraId="3D93087A" w14:textId="1311FB1F" w:rsidR="008849C2" w:rsidRDefault="000C685D" w:rsidP="00F33674">
      <w:pPr>
        <w:pStyle w:val="Heading3"/>
      </w:pPr>
      <w:bookmarkStart w:id="40" w:name="_Toc188863866"/>
      <w:r>
        <w:t xml:space="preserve">I.1 </w:t>
      </w:r>
      <w:r w:rsidR="008849C2">
        <w:t>Application Timeline</w:t>
      </w:r>
      <w:bookmarkEnd w:id="39"/>
      <w:bookmarkEnd w:id="40"/>
    </w:p>
    <w:p w14:paraId="1DB66D9F" w14:textId="0A8A2AE4" w:rsidR="006900BD" w:rsidRDefault="006900BD" w:rsidP="006900BD">
      <w:pPr>
        <w:pStyle w:val="Caption"/>
      </w:pPr>
      <w:r>
        <w:t xml:space="preserve">Table </w:t>
      </w:r>
      <w:r w:rsidR="000C685D">
        <w:t>4</w:t>
      </w:r>
      <w:r>
        <w:t xml:space="preserve">: </w:t>
      </w:r>
      <w:r w:rsidR="00AE038C">
        <w:t>Application Timeline</w:t>
      </w:r>
    </w:p>
    <w:tbl>
      <w:tblPr>
        <w:tblStyle w:val="TableGrid"/>
        <w:tblW w:w="10620" w:type="dxa"/>
        <w:tblInd w:w="-545" w:type="dxa"/>
        <w:tblLook w:val="04A0" w:firstRow="1" w:lastRow="0" w:firstColumn="1" w:lastColumn="0" w:noHBand="0" w:noVBand="1"/>
      </w:tblPr>
      <w:tblGrid>
        <w:gridCol w:w="3150"/>
        <w:gridCol w:w="7470"/>
      </w:tblGrid>
      <w:tr w:rsidR="0036265D" w:rsidRPr="00E570C1" w14:paraId="7D661CAE" w14:textId="77777777" w:rsidTr="00704EE7">
        <w:trPr>
          <w:trHeight w:hRule="exact" w:val="505"/>
        </w:trPr>
        <w:tc>
          <w:tcPr>
            <w:tcW w:w="3150" w:type="dxa"/>
            <w:shd w:val="clear" w:color="auto" w:fill="D9D9D9" w:themeFill="background1" w:themeFillShade="D9"/>
          </w:tcPr>
          <w:p w14:paraId="0BE6337E" w14:textId="77777777" w:rsidR="0036265D" w:rsidRPr="00E570C1" w:rsidRDefault="0036265D" w:rsidP="008F72E7">
            <w:pPr>
              <w:jc w:val="center"/>
              <w:rPr>
                <w:rFonts w:asciiTheme="minorHAnsi" w:hAnsiTheme="minorHAnsi" w:cstheme="minorHAnsi"/>
                <w:b/>
                <w:szCs w:val="24"/>
              </w:rPr>
            </w:pPr>
            <w:r w:rsidRPr="00E570C1">
              <w:rPr>
                <w:rFonts w:asciiTheme="minorHAnsi" w:hAnsiTheme="minorHAnsi" w:cstheme="minorHAnsi"/>
                <w:b/>
                <w:szCs w:val="24"/>
              </w:rPr>
              <w:t>Date</w:t>
            </w:r>
          </w:p>
        </w:tc>
        <w:tc>
          <w:tcPr>
            <w:tcW w:w="7470" w:type="dxa"/>
            <w:shd w:val="clear" w:color="auto" w:fill="D9D9D9" w:themeFill="background1" w:themeFillShade="D9"/>
          </w:tcPr>
          <w:p w14:paraId="195217C2" w14:textId="77777777" w:rsidR="0036265D" w:rsidRPr="00E570C1" w:rsidRDefault="0036265D" w:rsidP="008F72E7">
            <w:pPr>
              <w:jc w:val="center"/>
              <w:rPr>
                <w:rFonts w:asciiTheme="minorHAnsi" w:hAnsiTheme="minorHAnsi" w:cstheme="minorHAnsi"/>
                <w:b/>
                <w:szCs w:val="24"/>
              </w:rPr>
            </w:pPr>
            <w:r w:rsidRPr="00E570C1">
              <w:rPr>
                <w:rFonts w:asciiTheme="minorHAnsi" w:hAnsiTheme="minorHAnsi" w:cstheme="minorHAnsi"/>
                <w:b/>
                <w:szCs w:val="24"/>
              </w:rPr>
              <w:t>Activity</w:t>
            </w:r>
          </w:p>
        </w:tc>
      </w:tr>
      <w:tr w:rsidR="0036265D" w:rsidRPr="00E570C1" w14:paraId="700B84AD" w14:textId="77777777" w:rsidTr="00704EE7">
        <w:tc>
          <w:tcPr>
            <w:tcW w:w="3150" w:type="dxa"/>
            <w:shd w:val="clear" w:color="auto" w:fill="F2F2F2" w:themeFill="background1" w:themeFillShade="F2"/>
          </w:tcPr>
          <w:p w14:paraId="516729AF" w14:textId="04CDD083" w:rsidR="0036265D" w:rsidRPr="009556AA" w:rsidRDefault="000A15C1" w:rsidP="008F72E7">
            <w:pPr>
              <w:rPr>
                <w:rFonts w:asciiTheme="minorHAnsi" w:hAnsiTheme="minorHAnsi" w:cstheme="minorHAnsi"/>
                <w:szCs w:val="24"/>
              </w:rPr>
            </w:pPr>
            <w:r w:rsidRPr="008F6C1F">
              <w:rPr>
                <w:szCs w:val="24"/>
              </w:rPr>
              <w:t>Monday, February 10, 2025</w:t>
            </w:r>
          </w:p>
        </w:tc>
        <w:tc>
          <w:tcPr>
            <w:tcW w:w="7470" w:type="dxa"/>
            <w:shd w:val="clear" w:color="auto" w:fill="F2F2F2" w:themeFill="background1" w:themeFillShade="F2"/>
          </w:tcPr>
          <w:p w14:paraId="7DB6FCC1" w14:textId="2E840909" w:rsidR="0036265D" w:rsidRPr="00E570C1" w:rsidRDefault="0036265D" w:rsidP="008F72E7">
            <w:pPr>
              <w:rPr>
                <w:rFonts w:asciiTheme="minorHAnsi" w:hAnsiTheme="minorHAnsi" w:cstheme="minorHAnsi"/>
                <w:szCs w:val="24"/>
              </w:rPr>
            </w:pPr>
            <w:r w:rsidRPr="00E570C1">
              <w:rPr>
                <w:rFonts w:asciiTheme="minorHAnsi" w:eastAsia="Calibri" w:hAnsiTheme="minorHAnsi" w:cstheme="minorHAnsi"/>
                <w:szCs w:val="24"/>
              </w:rPr>
              <w:t xml:space="preserve">RFP posted via </w:t>
            </w:r>
            <w:r w:rsidR="001A5587">
              <w:rPr>
                <w:rFonts w:asciiTheme="minorHAnsi" w:eastAsia="Calibri" w:hAnsiTheme="minorHAnsi" w:cstheme="minorHAnsi"/>
                <w:szCs w:val="24"/>
              </w:rPr>
              <w:t xml:space="preserve">the </w:t>
            </w:r>
            <w:r w:rsidRPr="00E570C1">
              <w:rPr>
                <w:rFonts w:asciiTheme="minorHAnsi" w:eastAsia="Calibri" w:hAnsiTheme="minorHAnsi" w:cstheme="minorHAnsi"/>
                <w:szCs w:val="24"/>
              </w:rPr>
              <w:t>Minnesota Housing website</w:t>
            </w:r>
            <w:r w:rsidR="001A5587">
              <w:rPr>
                <w:rFonts w:asciiTheme="minorHAnsi" w:eastAsia="Calibri" w:hAnsiTheme="minorHAnsi" w:cstheme="minorHAnsi"/>
                <w:szCs w:val="24"/>
              </w:rPr>
              <w:t xml:space="preserve">, </w:t>
            </w:r>
            <w:r w:rsidRPr="00E570C1">
              <w:rPr>
                <w:rFonts w:asciiTheme="minorHAnsi" w:eastAsia="Calibri" w:hAnsiTheme="minorHAnsi" w:cstheme="minorHAnsi"/>
                <w:szCs w:val="24"/>
              </w:rPr>
              <w:t>eNews</w:t>
            </w:r>
            <w:r w:rsidR="001A5587">
              <w:rPr>
                <w:rFonts w:asciiTheme="minorHAnsi" w:eastAsia="Calibri" w:hAnsiTheme="minorHAnsi" w:cstheme="minorHAnsi"/>
                <w:szCs w:val="24"/>
              </w:rPr>
              <w:t xml:space="preserve"> and State Register</w:t>
            </w:r>
          </w:p>
        </w:tc>
      </w:tr>
      <w:tr w:rsidR="0036265D" w:rsidRPr="00E570C1" w14:paraId="135B6E83" w14:textId="77777777" w:rsidTr="00704EE7">
        <w:trPr>
          <w:trHeight w:val="863"/>
        </w:trPr>
        <w:tc>
          <w:tcPr>
            <w:tcW w:w="3150" w:type="dxa"/>
          </w:tcPr>
          <w:p w14:paraId="04EDD7C3" w14:textId="45EB39D3" w:rsidR="0036265D" w:rsidRPr="009556AA" w:rsidRDefault="000A15C1" w:rsidP="008F72E7">
            <w:pPr>
              <w:rPr>
                <w:rFonts w:asciiTheme="minorHAnsi" w:hAnsiTheme="minorHAnsi" w:cstheme="minorHAnsi"/>
                <w:szCs w:val="24"/>
              </w:rPr>
            </w:pPr>
            <w:r w:rsidRPr="009556AA">
              <w:rPr>
                <w:szCs w:val="24"/>
              </w:rPr>
              <w:t>Thursday</w:t>
            </w:r>
            <w:r w:rsidR="00FA179F" w:rsidRPr="009556AA">
              <w:rPr>
                <w:szCs w:val="24"/>
              </w:rPr>
              <w:t xml:space="preserve">, </w:t>
            </w:r>
            <w:r w:rsidRPr="009556AA">
              <w:rPr>
                <w:szCs w:val="24"/>
              </w:rPr>
              <w:t xml:space="preserve">February </w:t>
            </w:r>
            <w:r w:rsidR="00FA179F" w:rsidRPr="009556AA">
              <w:rPr>
                <w:szCs w:val="24"/>
              </w:rPr>
              <w:t>2</w:t>
            </w:r>
            <w:r w:rsidRPr="009556AA">
              <w:rPr>
                <w:szCs w:val="24"/>
              </w:rPr>
              <w:t>0</w:t>
            </w:r>
            <w:r w:rsidR="00FA179F" w:rsidRPr="009556AA">
              <w:rPr>
                <w:szCs w:val="24"/>
              </w:rPr>
              <w:t>, 2025</w:t>
            </w:r>
          </w:p>
        </w:tc>
        <w:tc>
          <w:tcPr>
            <w:tcW w:w="7470" w:type="dxa"/>
          </w:tcPr>
          <w:p w14:paraId="337B1182" w14:textId="1DE4E4D1" w:rsidR="0036265D" w:rsidRPr="00E570C1" w:rsidRDefault="0036265D" w:rsidP="008F72E7">
            <w:pPr>
              <w:rPr>
                <w:rFonts w:asciiTheme="minorHAnsi" w:hAnsiTheme="minorHAnsi" w:cstheme="minorHAnsi"/>
                <w:szCs w:val="24"/>
              </w:rPr>
            </w:pPr>
            <w:r w:rsidRPr="00E570C1">
              <w:rPr>
                <w:rFonts w:asciiTheme="minorHAnsi" w:eastAsia="Calibri" w:hAnsiTheme="minorHAnsi" w:cstheme="minorHAnsi"/>
                <w:szCs w:val="24"/>
              </w:rPr>
              <w:t>Minnesota Housing holds an RFP information Session/Technical Assistance Session</w:t>
            </w:r>
            <w:r w:rsidR="00391103">
              <w:rPr>
                <w:rFonts w:asciiTheme="minorHAnsi" w:eastAsia="Calibri" w:hAnsiTheme="minorHAnsi" w:cstheme="minorHAnsi"/>
                <w:szCs w:val="24"/>
              </w:rPr>
              <w:t>, 1:30-2:30 pm.</w:t>
            </w:r>
            <w:r w:rsidR="007B36AD">
              <w:rPr>
                <w:rFonts w:asciiTheme="minorHAnsi" w:eastAsia="Calibri" w:hAnsiTheme="minorHAnsi" w:cstheme="minorHAnsi"/>
                <w:szCs w:val="24"/>
              </w:rPr>
              <w:t xml:space="preserve"> </w:t>
            </w:r>
            <w:r w:rsidR="00391103">
              <w:t xml:space="preserve"> </w:t>
            </w:r>
            <w:hyperlink r:id="rId16" w:history="1">
              <w:r w:rsidR="008B4F2B" w:rsidRPr="008B4F2B">
                <w:rPr>
                  <w:rStyle w:val="Hyperlink"/>
                </w:rPr>
                <w:t>Registration Link</w:t>
              </w:r>
            </w:hyperlink>
          </w:p>
        </w:tc>
      </w:tr>
      <w:tr w:rsidR="0036265D" w:rsidRPr="00E570C1" w14:paraId="57C94902" w14:textId="77777777" w:rsidTr="00704EE7">
        <w:trPr>
          <w:trHeight w:val="602"/>
        </w:trPr>
        <w:tc>
          <w:tcPr>
            <w:tcW w:w="3150" w:type="dxa"/>
            <w:shd w:val="clear" w:color="auto" w:fill="F2F2F2" w:themeFill="background1" w:themeFillShade="F2"/>
          </w:tcPr>
          <w:p w14:paraId="35AB599A" w14:textId="45ABD097" w:rsidR="0036265D" w:rsidRPr="009556AA" w:rsidRDefault="000A15C1" w:rsidP="008F72E7">
            <w:pPr>
              <w:rPr>
                <w:rFonts w:asciiTheme="minorHAnsi" w:hAnsiTheme="minorHAnsi" w:cstheme="minorHAnsi"/>
                <w:szCs w:val="24"/>
              </w:rPr>
            </w:pPr>
            <w:r w:rsidRPr="009556AA">
              <w:rPr>
                <w:szCs w:val="24"/>
              </w:rPr>
              <w:t>Tuesday</w:t>
            </w:r>
            <w:r w:rsidR="00FA179F" w:rsidRPr="009556AA">
              <w:rPr>
                <w:szCs w:val="24"/>
              </w:rPr>
              <w:t xml:space="preserve">, </w:t>
            </w:r>
            <w:r w:rsidRPr="009556AA">
              <w:rPr>
                <w:szCs w:val="24"/>
              </w:rPr>
              <w:t>February 24, 2025</w:t>
            </w:r>
          </w:p>
        </w:tc>
        <w:tc>
          <w:tcPr>
            <w:tcW w:w="7470" w:type="dxa"/>
            <w:shd w:val="clear" w:color="auto" w:fill="F2F2F2" w:themeFill="background1" w:themeFillShade="F2"/>
          </w:tcPr>
          <w:p w14:paraId="099943C3" w14:textId="4D1B975D" w:rsidR="0036265D" w:rsidRPr="00E570C1" w:rsidRDefault="0036265D" w:rsidP="008F72E7">
            <w:pPr>
              <w:rPr>
                <w:rFonts w:asciiTheme="minorHAnsi" w:eastAsia="Calibri" w:hAnsiTheme="minorHAnsi" w:cstheme="minorHAnsi"/>
                <w:szCs w:val="24"/>
              </w:rPr>
            </w:pPr>
            <w:r w:rsidRPr="00E570C1">
              <w:rPr>
                <w:rFonts w:asciiTheme="minorHAnsi" w:eastAsia="Calibri" w:hAnsiTheme="minorHAnsi" w:cstheme="minorHAnsi"/>
                <w:szCs w:val="24"/>
              </w:rPr>
              <w:t xml:space="preserve">Final call for questions </w:t>
            </w:r>
            <w:r w:rsidRPr="007B36AD">
              <w:rPr>
                <w:rFonts w:asciiTheme="minorHAnsi" w:eastAsia="Calibri" w:hAnsiTheme="minorHAnsi" w:cstheme="minorHAnsi"/>
                <w:szCs w:val="24"/>
              </w:rPr>
              <w:t xml:space="preserve">by </w:t>
            </w:r>
            <w:r w:rsidR="0068361B">
              <w:rPr>
                <w:rFonts w:asciiTheme="minorHAnsi" w:eastAsia="Calibri" w:hAnsiTheme="minorHAnsi" w:cstheme="minorHAnsi"/>
                <w:b/>
                <w:bCs/>
                <w:szCs w:val="24"/>
              </w:rPr>
              <w:t>n</w:t>
            </w:r>
            <w:r w:rsidR="007B36AD" w:rsidRPr="007B36AD">
              <w:rPr>
                <w:rFonts w:asciiTheme="minorHAnsi" w:eastAsia="Calibri" w:hAnsiTheme="minorHAnsi" w:cstheme="minorHAnsi"/>
                <w:b/>
                <w:bCs/>
                <w:szCs w:val="24"/>
              </w:rPr>
              <w:t>oon</w:t>
            </w:r>
            <w:r w:rsidRPr="007B36AD">
              <w:rPr>
                <w:rFonts w:asciiTheme="minorHAnsi" w:eastAsia="Calibri" w:hAnsiTheme="minorHAnsi" w:cstheme="minorHAnsi"/>
                <w:b/>
                <w:bCs/>
                <w:szCs w:val="24"/>
              </w:rPr>
              <w:t xml:space="preserve"> Central </w:t>
            </w:r>
            <w:r w:rsidR="0068361B">
              <w:rPr>
                <w:rFonts w:asciiTheme="minorHAnsi" w:eastAsia="Calibri" w:hAnsiTheme="minorHAnsi" w:cstheme="minorHAnsi"/>
                <w:b/>
                <w:bCs/>
                <w:szCs w:val="24"/>
              </w:rPr>
              <w:t>t</w:t>
            </w:r>
            <w:r w:rsidRPr="007B36AD">
              <w:rPr>
                <w:rFonts w:asciiTheme="minorHAnsi" w:eastAsia="Calibri" w:hAnsiTheme="minorHAnsi" w:cstheme="minorHAnsi"/>
                <w:b/>
                <w:bCs/>
                <w:szCs w:val="24"/>
              </w:rPr>
              <w:t>ime</w:t>
            </w:r>
            <w:r w:rsidRPr="00E570C1">
              <w:rPr>
                <w:rFonts w:asciiTheme="minorHAnsi" w:eastAsia="Calibri" w:hAnsiTheme="minorHAnsi" w:cstheme="minorHAnsi"/>
                <w:szCs w:val="24"/>
              </w:rPr>
              <w:t xml:space="preserve"> </w:t>
            </w:r>
          </w:p>
        </w:tc>
      </w:tr>
      <w:tr w:rsidR="00FA5E91" w:rsidRPr="00E570C1" w14:paraId="1DFC0629" w14:textId="77777777" w:rsidTr="0025018B">
        <w:trPr>
          <w:trHeight w:val="602"/>
        </w:trPr>
        <w:tc>
          <w:tcPr>
            <w:tcW w:w="3150" w:type="dxa"/>
            <w:shd w:val="clear" w:color="auto" w:fill="auto"/>
          </w:tcPr>
          <w:p w14:paraId="1EE27A7D" w14:textId="26A91880" w:rsidR="00FA5E91" w:rsidRPr="009556AA" w:rsidRDefault="000A15C1" w:rsidP="008F72E7">
            <w:pPr>
              <w:rPr>
                <w:rFonts w:asciiTheme="minorHAnsi" w:hAnsiTheme="minorHAnsi" w:cstheme="minorHAnsi"/>
                <w:szCs w:val="24"/>
              </w:rPr>
            </w:pPr>
            <w:r w:rsidRPr="009556AA">
              <w:rPr>
                <w:szCs w:val="24"/>
              </w:rPr>
              <w:t>Wednesday, February 26</w:t>
            </w:r>
            <w:r w:rsidR="00FA179F" w:rsidRPr="009556AA">
              <w:rPr>
                <w:szCs w:val="24"/>
              </w:rPr>
              <w:t>, 2025</w:t>
            </w:r>
          </w:p>
        </w:tc>
        <w:tc>
          <w:tcPr>
            <w:tcW w:w="7470" w:type="dxa"/>
            <w:shd w:val="clear" w:color="auto" w:fill="auto"/>
          </w:tcPr>
          <w:p w14:paraId="7181DCAE" w14:textId="60C57ACA" w:rsidR="00FA5E91" w:rsidRPr="00E570C1" w:rsidRDefault="0025018B" w:rsidP="008F72E7">
            <w:pPr>
              <w:rPr>
                <w:rFonts w:asciiTheme="minorHAnsi" w:eastAsia="Calibri" w:hAnsiTheme="minorHAnsi" w:cstheme="minorHAnsi"/>
                <w:szCs w:val="24"/>
              </w:rPr>
            </w:pPr>
            <w:r>
              <w:rPr>
                <w:rFonts w:asciiTheme="minorHAnsi" w:eastAsia="Calibri" w:hAnsiTheme="minorHAnsi" w:cstheme="minorHAnsi"/>
                <w:szCs w:val="24"/>
              </w:rPr>
              <w:t>Final FAQs posted to the Minnesota Housing website in response to RFP questions submitted</w:t>
            </w:r>
          </w:p>
        </w:tc>
      </w:tr>
      <w:tr w:rsidR="0036265D" w:rsidRPr="00E570C1" w14:paraId="0C1DA399" w14:textId="77777777" w:rsidTr="0025018B">
        <w:trPr>
          <w:trHeight w:val="20"/>
        </w:trPr>
        <w:tc>
          <w:tcPr>
            <w:tcW w:w="3150" w:type="dxa"/>
            <w:shd w:val="clear" w:color="auto" w:fill="F2F2F2" w:themeFill="background1" w:themeFillShade="F2"/>
          </w:tcPr>
          <w:p w14:paraId="6002C244" w14:textId="59024C92" w:rsidR="0036265D" w:rsidRPr="009556AA" w:rsidRDefault="00806CFC" w:rsidP="008F72E7">
            <w:pPr>
              <w:rPr>
                <w:rFonts w:asciiTheme="minorHAnsi" w:hAnsiTheme="minorHAnsi" w:cstheme="minorHAnsi"/>
                <w:szCs w:val="24"/>
              </w:rPr>
            </w:pPr>
            <w:r w:rsidRPr="009556AA">
              <w:rPr>
                <w:szCs w:val="24"/>
              </w:rPr>
              <w:t>Wednesday, March 12, 2025</w:t>
            </w:r>
          </w:p>
        </w:tc>
        <w:tc>
          <w:tcPr>
            <w:tcW w:w="7470" w:type="dxa"/>
            <w:shd w:val="clear" w:color="auto" w:fill="F2F2F2" w:themeFill="background1" w:themeFillShade="F2"/>
          </w:tcPr>
          <w:p w14:paraId="64E3A429" w14:textId="4D3ECABD" w:rsidR="0036265D" w:rsidRPr="00E570C1" w:rsidRDefault="0036265D" w:rsidP="008F72E7">
            <w:pPr>
              <w:rPr>
                <w:rFonts w:asciiTheme="minorHAnsi" w:hAnsiTheme="minorHAnsi" w:cstheme="minorHAnsi"/>
                <w:szCs w:val="24"/>
              </w:rPr>
            </w:pPr>
            <w:r w:rsidRPr="00E570C1">
              <w:rPr>
                <w:rFonts w:asciiTheme="minorHAnsi" w:eastAsia="Calibri" w:hAnsiTheme="minorHAnsi" w:cstheme="minorHAnsi"/>
                <w:szCs w:val="24"/>
              </w:rPr>
              <w:t>Applications due by</w:t>
            </w:r>
            <w:r w:rsidRPr="00704EE7">
              <w:rPr>
                <w:rFonts w:asciiTheme="minorHAnsi" w:eastAsia="Calibri" w:hAnsiTheme="minorHAnsi" w:cstheme="minorHAnsi"/>
                <w:color w:val="C00000"/>
                <w:szCs w:val="24"/>
              </w:rPr>
              <w:t xml:space="preserve"> </w:t>
            </w:r>
            <w:r w:rsidR="0068361B" w:rsidRPr="008F6C1F">
              <w:rPr>
                <w:rFonts w:asciiTheme="minorHAnsi" w:eastAsia="Calibri" w:hAnsiTheme="minorHAnsi" w:cstheme="minorHAnsi"/>
                <w:b/>
                <w:bCs/>
                <w:szCs w:val="24"/>
              </w:rPr>
              <w:t>noon</w:t>
            </w:r>
            <w:r w:rsidRPr="00E570C1">
              <w:rPr>
                <w:rFonts w:asciiTheme="minorHAnsi" w:eastAsia="Calibri" w:hAnsiTheme="minorHAnsi" w:cstheme="minorHAnsi"/>
                <w:szCs w:val="24"/>
              </w:rPr>
              <w:t xml:space="preserve"> Central </w:t>
            </w:r>
            <w:r w:rsidR="0068361B">
              <w:rPr>
                <w:rFonts w:asciiTheme="minorHAnsi" w:eastAsia="Calibri" w:hAnsiTheme="minorHAnsi" w:cstheme="minorHAnsi"/>
                <w:szCs w:val="24"/>
              </w:rPr>
              <w:t>t</w:t>
            </w:r>
            <w:r w:rsidRPr="00E570C1">
              <w:rPr>
                <w:rFonts w:asciiTheme="minorHAnsi" w:eastAsia="Calibri" w:hAnsiTheme="minorHAnsi" w:cstheme="minorHAnsi"/>
                <w:szCs w:val="24"/>
              </w:rPr>
              <w:t xml:space="preserve">ime (refer to the </w:t>
            </w:r>
            <w:r w:rsidR="00704EE7">
              <w:rPr>
                <w:rFonts w:asciiTheme="minorHAnsi" w:eastAsia="Calibri" w:hAnsiTheme="minorHAnsi" w:cstheme="minorHAnsi"/>
                <w:szCs w:val="24"/>
              </w:rPr>
              <w:t>S</w:t>
            </w:r>
            <w:r w:rsidRPr="00E570C1">
              <w:rPr>
                <w:rFonts w:asciiTheme="minorHAnsi" w:eastAsia="Calibri" w:hAnsiTheme="minorHAnsi" w:cstheme="minorHAnsi"/>
                <w:szCs w:val="24"/>
              </w:rPr>
              <w:t>ubmission</w:t>
            </w:r>
            <w:r w:rsidR="00704EE7">
              <w:rPr>
                <w:rFonts w:asciiTheme="minorHAnsi" w:eastAsia="Calibri" w:hAnsiTheme="minorHAnsi" w:cstheme="minorHAnsi"/>
                <w:szCs w:val="24"/>
              </w:rPr>
              <w:t xml:space="preserve"> Instructions</w:t>
            </w:r>
            <w:r w:rsidRPr="00E570C1">
              <w:rPr>
                <w:rFonts w:asciiTheme="minorHAnsi" w:eastAsia="Calibri" w:hAnsiTheme="minorHAnsi" w:cstheme="minorHAnsi"/>
                <w:szCs w:val="24"/>
              </w:rPr>
              <w:t xml:space="preserve"> section below)</w:t>
            </w:r>
          </w:p>
        </w:tc>
      </w:tr>
      <w:tr w:rsidR="00CA7E70" w:rsidRPr="00E570C1" w14:paraId="7C21954D" w14:textId="77777777" w:rsidTr="0025018B">
        <w:trPr>
          <w:trHeight w:val="20"/>
        </w:trPr>
        <w:tc>
          <w:tcPr>
            <w:tcW w:w="3150" w:type="dxa"/>
            <w:shd w:val="clear" w:color="auto" w:fill="FFFFFF" w:themeFill="background1"/>
          </w:tcPr>
          <w:p w14:paraId="0367E113" w14:textId="092BA2F0" w:rsidR="008B4F2B" w:rsidRPr="009556AA" w:rsidRDefault="008B4F2B" w:rsidP="008F72E7">
            <w:pPr>
              <w:rPr>
                <w:rFonts w:asciiTheme="minorHAnsi" w:hAnsiTheme="minorHAnsi" w:cstheme="minorHAnsi"/>
                <w:szCs w:val="24"/>
              </w:rPr>
            </w:pPr>
            <w:r>
              <w:rPr>
                <w:rFonts w:asciiTheme="minorHAnsi" w:hAnsiTheme="minorHAnsi" w:cstheme="minorHAnsi"/>
                <w:szCs w:val="24"/>
              </w:rPr>
              <w:t xml:space="preserve">Thursday, </w:t>
            </w:r>
            <w:r w:rsidR="005F3440">
              <w:rPr>
                <w:rFonts w:asciiTheme="minorHAnsi" w:hAnsiTheme="minorHAnsi" w:cstheme="minorHAnsi"/>
                <w:szCs w:val="24"/>
              </w:rPr>
              <w:t>May 22</w:t>
            </w:r>
            <w:r>
              <w:rPr>
                <w:rFonts w:asciiTheme="minorHAnsi" w:hAnsiTheme="minorHAnsi" w:cstheme="minorHAnsi"/>
                <w:szCs w:val="24"/>
              </w:rPr>
              <w:t>, 2025*</w:t>
            </w:r>
          </w:p>
        </w:tc>
        <w:tc>
          <w:tcPr>
            <w:tcW w:w="7470" w:type="dxa"/>
            <w:shd w:val="clear" w:color="auto" w:fill="FFFFFF" w:themeFill="background1"/>
          </w:tcPr>
          <w:p w14:paraId="43324F86" w14:textId="1F749A5C" w:rsidR="00CA7E70" w:rsidRPr="00E570C1" w:rsidRDefault="008B4F2B" w:rsidP="008F72E7">
            <w:pPr>
              <w:rPr>
                <w:rFonts w:asciiTheme="minorHAnsi" w:eastAsia="Calibri" w:hAnsiTheme="minorHAnsi" w:cstheme="minorHAnsi"/>
                <w:szCs w:val="24"/>
              </w:rPr>
            </w:pPr>
            <w:r w:rsidRPr="00E570C1">
              <w:rPr>
                <w:rFonts w:asciiTheme="minorHAnsi" w:eastAsia="Calibri" w:hAnsiTheme="minorHAnsi" w:cstheme="minorHAnsi"/>
                <w:szCs w:val="24"/>
              </w:rPr>
              <w:t xml:space="preserve">Minnesota Housing staff recommends selections to Minnesota Housing’s </w:t>
            </w:r>
            <w:r>
              <w:rPr>
                <w:rFonts w:asciiTheme="minorHAnsi" w:eastAsia="Calibri" w:hAnsiTheme="minorHAnsi" w:cstheme="minorHAnsi"/>
                <w:szCs w:val="24"/>
              </w:rPr>
              <w:t>B</w:t>
            </w:r>
            <w:r w:rsidRPr="00E570C1">
              <w:rPr>
                <w:rFonts w:asciiTheme="minorHAnsi" w:eastAsia="Calibri" w:hAnsiTheme="minorHAnsi" w:cstheme="minorHAnsi"/>
                <w:szCs w:val="24"/>
              </w:rPr>
              <w:t>oard</w:t>
            </w:r>
          </w:p>
        </w:tc>
      </w:tr>
      <w:tr w:rsidR="0036265D" w:rsidRPr="00E570C1" w14:paraId="546A76E5" w14:textId="77777777" w:rsidTr="008F6C1F">
        <w:trPr>
          <w:trHeight w:val="20"/>
        </w:trPr>
        <w:tc>
          <w:tcPr>
            <w:tcW w:w="3150" w:type="dxa"/>
            <w:shd w:val="clear" w:color="auto" w:fill="F2F2F2" w:themeFill="background1" w:themeFillShade="F2"/>
          </w:tcPr>
          <w:p w14:paraId="6819CADE" w14:textId="20F2042F" w:rsidR="0036265D" w:rsidRPr="009556AA" w:rsidRDefault="005F3440" w:rsidP="008F72E7">
            <w:pPr>
              <w:rPr>
                <w:rFonts w:asciiTheme="minorHAnsi" w:hAnsiTheme="minorHAnsi" w:cstheme="minorHAnsi"/>
                <w:szCs w:val="24"/>
              </w:rPr>
            </w:pPr>
            <w:r>
              <w:rPr>
                <w:rFonts w:asciiTheme="minorHAnsi" w:hAnsiTheme="minorHAnsi" w:cstheme="minorHAnsi"/>
                <w:szCs w:val="24"/>
              </w:rPr>
              <w:t>June</w:t>
            </w:r>
            <w:r w:rsidR="008B4F2B">
              <w:rPr>
                <w:rFonts w:asciiTheme="minorHAnsi" w:hAnsiTheme="minorHAnsi" w:cstheme="minorHAnsi"/>
                <w:szCs w:val="24"/>
              </w:rPr>
              <w:t xml:space="preserve"> 2025</w:t>
            </w:r>
          </w:p>
        </w:tc>
        <w:tc>
          <w:tcPr>
            <w:tcW w:w="7470" w:type="dxa"/>
            <w:shd w:val="clear" w:color="auto" w:fill="F2F2F2" w:themeFill="background1" w:themeFillShade="F2"/>
          </w:tcPr>
          <w:p w14:paraId="40889FE2" w14:textId="2ECF0D34" w:rsidR="0036265D" w:rsidRPr="00E570C1" w:rsidRDefault="008B4F2B" w:rsidP="008F72E7">
            <w:pPr>
              <w:rPr>
                <w:rFonts w:asciiTheme="minorHAnsi" w:hAnsiTheme="minorHAnsi" w:cstheme="minorHAnsi"/>
                <w:szCs w:val="24"/>
              </w:rPr>
            </w:pPr>
            <w:r>
              <w:rPr>
                <w:rFonts w:asciiTheme="minorHAnsi" w:hAnsiTheme="minorHAnsi" w:cstheme="minorHAnsi"/>
                <w:szCs w:val="24"/>
              </w:rPr>
              <w:t>Process for Grant Contract Agreement negotiations, due diligence submissions and Grant Contract Agreement execution begins</w:t>
            </w:r>
          </w:p>
        </w:tc>
      </w:tr>
    </w:tbl>
    <w:p w14:paraId="2FE7D551" w14:textId="77777777" w:rsidR="00CA7AB1" w:rsidRDefault="00CA7AB1" w:rsidP="00CA7AB1">
      <w:pPr>
        <w:spacing w:after="0" w:line="240" w:lineRule="auto"/>
        <w:rPr>
          <w:rFonts w:cs="Calibri"/>
          <w:szCs w:val="24"/>
        </w:rPr>
      </w:pPr>
      <w:r>
        <w:rPr>
          <w:rFonts w:cs="Calibri"/>
          <w:szCs w:val="24"/>
        </w:rPr>
        <w:t>*Minnesota Housing reserves the right to</w:t>
      </w:r>
      <w:r>
        <w:t xml:space="preserve"> extend at our sole discretion</w:t>
      </w:r>
      <w:r>
        <w:rPr>
          <w:rFonts w:cs="Calibri"/>
          <w:szCs w:val="24"/>
        </w:rPr>
        <w:t>.</w:t>
      </w:r>
    </w:p>
    <w:p w14:paraId="52991AE9" w14:textId="56E2CAE8" w:rsidR="008849C2" w:rsidRDefault="00671966" w:rsidP="0036265D">
      <w:pPr>
        <w:spacing w:after="0" w:line="240" w:lineRule="auto"/>
        <w:rPr>
          <w:rFonts w:cs="Calibri"/>
          <w:szCs w:val="24"/>
        </w:rPr>
      </w:pPr>
      <w:r w:rsidRPr="00671966">
        <w:rPr>
          <w:rFonts w:cs="Calibri"/>
          <w:b/>
          <w:bCs/>
          <w:szCs w:val="24"/>
        </w:rPr>
        <w:t>NOTE:</w:t>
      </w:r>
      <w:r>
        <w:rPr>
          <w:rFonts w:cs="Calibri"/>
          <w:szCs w:val="24"/>
        </w:rPr>
        <w:t xml:space="preserve"> All dates and times are subject to change at the sole discretion of Minnesota Housing.</w:t>
      </w:r>
    </w:p>
    <w:p w14:paraId="7AB147D7" w14:textId="558F1027" w:rsidR="0052551B" w:rsidRDefault="0036265D" w:rsidP="0036265D">
      <w:pPr>
        <w:spacing w:after="0" w:line="240" w:lineRule="auto"/>
      </w:pPr>
      <w:r w:rsidRPr="00E570C1">
        <w:rPr>
          <w:rFonts w:cs="Calibri"/>
          <w:szCs w:val="24"/>
        </w:rPr>
        <w:lastRenderedPageBreak/>
        <w:t xml:space="preserve">Minnesota Housing will hold an RFP Information/Technical Assistance Session at </w:t>
      </w:r>
      <w:r w:rsidR="00806CFC">
        <w:rPr>
          <w:rFonts w:cs="Calibri"/>
          <w:b/>
          <w:bCs/>
          <w:szCs w:val="24"/>
        </w:rPr>
        <w:t>1:30-2:30</w:t>
      </w:r>
      <w:r w:rsidR="007B36AD" w:rsidRPr="00664C2E">
        <w:rPr>
          <w:rFonts w:cs="Calibri"/>
          <w:b/>
          <w:bCs/>
          <w:szCs w:val="24"/>
        </w:rPr>
        <w:t xml:space="preserve"> PM</w:t>
      </w:r>
      <w:r w:rsidR="001A5587" w:rsidRPr="00664C2E">
        <w:rPr>
          <w:rFonts w:cs="Calibri"/>
          <w:b/>
          <w:bCs/>
          <w:szCs w:val="24"/>
        </w:rPr>
        <w:t xml:space="preserve"> Central </w:t>
      </w:r>
      <w:r w:rsidR="00954A98">
        <w:rPr>
          <w:rFonts w:cs="Calibri"/>
          <w:b/>
          <w:bCs/>
          <w:szCs w:val="24"/>
        </w:rPr>
        <w:t>t</w:t>
      </w:r>
      <w:r w:rsidR="001A5587" w:rsidRPr="00664C2E">
        <w:rPr>
          <w:rFonts w:cs="Calibri"/>
          <w:b/>
          <w:bCs/>
          <w:szCs w:val="24"/>
        </w:rPr>
        <w:t>ime,</w:t>
      </w:r>
      <w:r w:rsidR="00806CFC">
        <w:rPr>
          <w:rFonts w:cs="Calibri"/>
          <w:b/>
          <w:bCs/>
          <w:szCs w:val="24"/>
        </w:rPr>
        <w:t xml:space="preserve"> Thursday, February 20, 2025</w:t>
      </w:r>
      <w:r w:rsidRPr="00664C2E">
        <w:rPr>
          <w:rFonts w:cs="Calibri"/>
          <w:szCs w:val="24"/>
        </w:rPr>
        <w:t xml:space="preserve"> </w:t>
      </w:r>
      <w:r w:rsidR="00954A98">
        <w:rPr>
          <w:rFonts w:cs="Calibri"/>
          <w:szCs w:val="24"/>
        </w:rPr>
        <w:t>v</w:t>
      </w:r>
      <w:r w:rsidR="007B36AD">
        <w:rPr>
          <w:rFonts w:cs="Calibri"/>
          <w:szCs w:val="24"/>
        </w:rPr>
        <w:t>ia Teams Webinar</w:t>
      </w:r>
      <w:r w:rsidRPr="00E570C1">
        <w:rPr>
          <w:rFonts w:cs="Calibri"/>
          <w:szCs w:val="24"/>
        </w:rPr>
        <w:t xml:space="preserve"> </w:t>
      </w:r>
      <w:hyperlink r:id="rId17" w:history="1">
        <w:r w:rsidR="008F6C1F" w:rsidRPr="008F6C1F">
          <w:rPr>
            <w:rStyle w:val="Hyperlink"/>
            <w:rFonts w:cs="Calibri"/>
            <w:szCs w:val="24"/>
          </w:rPr>
          <w:t>Registration Link</w:t>
        </w:r>
      </w:hyperlink>
    </w:p>
    <w:p w14:paraId="06715C1A" w14:textId="731569AC" w:rsidR="00FA179F" w:rsidRDefault="00FA179F" w:rsidP="0036265D">
      <w:pPr>
        <w:spacing w:after="0" w:line="240" w:lineRule="auto"/>
        <w:rPr>
          <w:rFonts w:cs="Calibri"/>
          <w:szCs w:val="24"/>
        </w:rPr>
      </w:pPr>
      <w:r>
        <w:rPr>
          <w:rFonts w:cs="Calibri"/>
          <w:szCs w:val="24"/>
        </w:rPr>
        <w:t xml:space="preserve">Questions </w:t>
      </w:r>
      <w:r w:rsidR="00C35526">
        <w:rPr>
          <w:rFonts w:cs="Calibri"/>
          <w:szCs w:val="24"/>
        </w:rPr>
        <w:t xml:space="preserve">can </w:t>
      </w:r>
      <w:r>
        <w:rPr>
          <w:rFonts w:cs="Calibri"/>
          <w:szCs w:val="24"/>
        </w:rPr>
        <w:t>be submitted in advance of the session</w:t>
      </w:r>
      <w:r w:rsidR="00954A98">
        <w:rPr>
          <w:rFonts w:cs="Calibri"/>
          <w:szCs w:val="24"/>
        </w:rPr>
        <w:t>. Please submit questions to</w:t>
      </w:r>
      <w:r w:rsidR="008F6C1F">
        <w:rPr>
          <w:rStyle w:val="Hyperlink"/>
          <w:rFonts w:cs="Calibri"/>
          <w:szCs w:val="24"/>
        </w:rPr>
        <w:t xml:space="preserve"> hig.mhfa@state.mn.us</w:t>
      </w:r>
      <w:r w:rsidR="008B4F2B">
        <w:rPr>
          <w:rFonts w:cs="Calibri"/>
          <w:szCs w:val="24"/>
        </w:rPr>
        <w:t>.</w:t>
      </w:r>
    </w:p>
    <w:p w14:paraId="1C0C7665" w14:textId="6C6B9B41" w:rsidR="0036265D" w:rsidRPr="00704EE7" w:rsidRDefault="0036265D" w:rsidP="0036265D">
      <w:pPr>
        <w:spacing w:after="0" w:line="240" w:lineRule="auto"/>
        <w:rPr>
          <w:rFonts w:cs="Calibri"/>
          <w:szCs w:val="24"/>
        </w:rPr>
      </w:pPr>
      <w:r w:rsidRPr="00704EE7">
        <w:rPr>
          <w:rFonts w:cs="Calibri"/>
          <w:szCs w:val="24"/>
        </w:rPr>
        <w:t>The information session will provide an overview of RFP content</w:t>
      </w:r>
      <w:r w:rsidR="00FA179F">
        <w:rPr>
          <w:rFonts w:cs="Calibri"/>
          <w:szCs w:val="24"/>
        </w:rPr>
        <w:t>, answer submitted questions</w:t>
      </w:r>
      <w:r w:rsidRPr="00704EE7">
        <w:rPr>
          <w:rFonts w:cs="Calibri"/>
          <w:szCs w:val="24"/>
        </w:rPr>
        <w:t xml:space="preserve"> and allow time for </w:t>
      </w:r>
      <w:r w:rsidR="00FA179F">
        <w:rPr>
          <w:rFonts w:cs="Calibri"/>
          <w:szCs w:val="24"/>
        </w:rPr>
        <w:t xml:space="preserve">additional </w:t>
      </w:r>
      <w:r w:rsidRPr="00704EE7">
        <w:rPr>
          <w:rFonts w:cs="Calibri"/>
          <w:szCs w:val="24"/>
        </w:rPr>
        <w:t>questions.</w:t>
      </w:r>
    </w:p>
    <w:p w14:paraId="2526B07F" w14:textId="77300CD0" w:rsidR="0036265D" w:rsidRPr="00664C2E" w:rsidRDefault="00FA179F" w:rsidP="0036265D">
      <w:pPr>
        <w:spacing w:after="0" w:line="240" w:lineRule="auto"/>
        <w:rPr>
          <w:rFonts w:cs="Calibri"/>
          <w:szCs w:val="24"/>
        </w:rPr>
      </w:pPr>
      <w:r w:rsidRPr="00BF4369">
        <w:rPr>
          <w:rFonts w:cs="Calibri"/>
          <w:szCs w:val="24"/>
        </w:rPr>
        <w:t xml:space="preserve">All </w:t>
      </w:r>
      <w:r w:rsidR="00987F19">
        <w:rPr>
          <w:rFonts w:cs="Calibri"/>
          <w:szCs w:val="24"/>
        </w:rPr>
        <w:t>remaining</w:t>
      </w:r>
      <w:r w:rsidR="00987F19" w:rsidRPr="00BF4369">
        <w:rPr>
          <w:rFonts w:cs="Calibri"/>
          <w:szCs w:val="24"/>
        </w:rPr>
        <w:t xml:space="preserve"> </w:t>
      </w:r>
      <w:r w:rsidRPr="00BF4369">
        <w:rPr>
          <w:rFonts w:cs="Calibri"/>
          <w:szCs w:val="24"/>
        </w:rPr>
        <w:t xml:space="preserve">questions must be submitted </w:t>
      </w:r>
      <w:r w:rsidR="00987F19">
        <w:rPr>
          <w:rFonts w:cs="Calibri"/>
          <w:szCs w:val="24"/>
        </w:rPr>
        <w:t>no later than</w:t>
      </w:r>
      <w:r w:rsidR="00987F19" w:rsidRPr="00BF4369">
        <w:rPr>
          <w:rFonts w:cs="Calibri"/>
          <w:szCs w:val="24"/>
        </w:rPr>
        <w:t xml:space="preserve"> </w:t>
      </w:r>
      <w:r w:rsidR="00F7306C">
        <w:rPr>
          <w:rFonts w:cs="Calibri"/>
          <w:szCs w:val="24"/>
        </w:rPr>
        <w:t>February 24, 2025</w:t>
      </w:r>
      <w:r w:rsidR="00954A98">
        <w:rPr>
          <w:rFonts w:cs="Calibri"/>
          <w:szCs w:val="24"/>
        </w:rPr>
        <w:t>,</w:t>
      </w:r>
      <w:r w:rsidR="00664C2E" w:rsidRPr="00664C2E">
        <w:rPr>
          <w:rFonts w:cs="Calibri"/>
          <w:szCs w:val="24"/>
        </w:rPr>
        <w:t xml:space="preserve"> at noon</w:t>
      </w:r>
      <w:r w:rsidRPr="00BF4369">
        <w:rPr>
          <w:rFonts w:cs="Calibri"/>
          <w:szCs w:val="24"/>
        </w:rPr>
        <w:t xml:space="preserve">. </w:t>
      </w:r>
      <w:r w:rsidR="0036265D" w:rsidRPr="00BF4369">
        <w:rPr>
          <w:rFonts w:cs="Calibri"/>
          <w:szCs w:val="24"/>
        </w:rPr>
        <w:t xml:space="preserve">Frequently Asked Questions (FAQs) from the RFP Information/Technical Assistance Session, along with </w:t>
      </w:r>
      <w:r w:rsidR="00987F19">
        <w:rPr>
          <w:rFonts w:cs="Calibri"/>
          <w:szCs w:val="24"/>
        </w:rPr>
        <w:t xml:space="preserve">all </w:t>
      </w:r>
      <w:r w:rsidR="0036265D" w:rsidRPr="00BF4369">
        <w:rPr>
          <w:rFonts w:cs="Calibri"/>
          <w:szCs w:val="24"/>
        </w:rPr>
        <w:t>other questions</w:t>
      </w:r>
      <w:r w:rsidR="00987F19">
        <w:rPr>
          <w:rFonts w:cs="Calibri"/>
          <w:szCs w:val="24"/>
        </w:rPr>
        <w:t xml:space="preserve"> received</w:t>
      </w:r>
      <w:r w:rsidR="0036265D" w:rsidRPr="00BF4369">
        <w:rPr>
          <w:rFonts w:cs="Calibri"/>
          <w:szCs w:val="24"/>
        </w:rPr>
        <w:t xml:space="preserve">, will be posted on or </w:t>
      </w:r>
      <w:r w:rsidR="0036265D" w:rsidRPr="00664C2E">
        <w:rPr>
          <w:rFonts w:cs="Calibri"/>
          <w:szCs w:val="24"/>
        </w:rPr>
        <w:t xml:space="preserve">around </w:t>
      </w:r>
      <w:r w:rsidR="00F7306C">
        <w:rPr>
          <w:rFonts w:cs="Calibri"/>
          <w:szCs w:val="24"/>
        </w:rPr>
        <w:t>February 26, 2025</w:t>
      </w:r>
      <w:r w:rsidR="0036265D" w:rsidRPr="00664C2E">
        <w:rPr>
          <w:rFonts w:cs="Calibri"/>
          <w:szCs w:val="24"/>
        </w:rPr>
        <w:t>.</w:t>
      </w:r>
    </w:p>
    <w:p w14:paraId="71F46EE5" w14:textId="5EDD9041" w:rsidR="003F14DC" w:rsidRDefault="003F14DC" w:rsidP="00F33674">
      <w:pPr>
        <w:pStyle w:val="Heading3"/>
      </w:pPr>
      <w:bookmarkStart w:id="41" w:name="_Toc188863867"/>
      <w:r>
        <w:t>I.2 Application and Signature Page</w:t>
      </w:r>
      <w:bookmarkEnd w:id="41"/>
    </w:p>
    <w:p w14:paraId="494F3257" w14:textId="043A53C1" w:rsidR="003F14DC" w:rsidRPr="00BF4369" w:rsidRDefault="003F14DC" w:rsidP="003F14DC">
      <w:r>
        <w:t xml:space="preserve">All </w:t>
      </w:r>
      <w:r w:rsidR="0068361B">
        <w:t>A</w:t>
      </w:r>
      <w:r>
        <w:t>pplicants must submit an Application and Signature Page. The form must be fully completed and signed by an authorized representative of the organization applying for funding.</w:t>
      </w:r>
    </w:p>
    <w:p w14:paraId="26D3BE03" w14:textId="43819219" w:rsidR="006900BD" w:rsidRPr="00F33674" w:rsidRDefault="000C685D" w:rsidP="00F33674">
      <w:pPr>
        <w:pStyle w:val="Heading3"/>
      </w:pPr>
      <w:bookmarkStart w:id="42" w:name="_Toc188863868"/>
      <w:r w:rsidRPr="00F33674">
        <w:t>I.</w:t>
      </w:r>
      <w:r w:rsidR="003F14DC" w:rsidRPr="00F33674">
        <w:t>3</w:t>
      </w:r>
      <w:r w:rsidRPr="00F33674">
        <w:t xml:space="preserve"> </w:t>
      </w:r>
      <w:r w:rsidR="004A191F" w:rsidRPr="00F33674">
        <w:t xml:space="preserve">One-Page Program Narrative </w:t>
      </w:r>
      <w:r w:rsidR="00F33674" w:rsidRPr="00F33674">
        <w:t>for each activity you are applying for</w:t>
      </w:r>
      <w:bookmarkEnd w:id="42"/>
    </w:p>
    <w:p w14:paraId="37E2AF0F" w14:textId="09687FAD" w:rsidR="004A191F" w:rsidRDefault="004A191F" w:rsidP="00704EE7">
      <w:r>
        <w:t xml:space="preserve">All </w:t>
      </w:r>
      <w:r w:rsidR="0068361B">
        <w:t>A</w:t>
      </w:r>
      <w:r>
        <w:t xml:space="preserve">pplicants must submit a one-page narrative </w:t>
      </w:r>
      <w:r w:rsidR="00F33674">
        <w:t>for each activity they are applying for</w:t>
      </w:r>
      <w:r w:rsidR="00EE1CA5">
        <w:t xml:space="preserve"> that</w:t>
      </w:r>
      <w:r w:rsidR="00F33674">
        <w:t xml:space="preserve"> </w:t>
      </w:r>
      <w:r>
        <w:t>describ</w:t>
      </w:r>
      <w:r w:rsidR="00EE1CA5">
        <w:t>es</w:t>
      </w:r>
      <w:r>
        <w:t xml:space="preserve"> </w:t>
      </w:r>
      <w:r w:rsidR="00630EFC">
        <w:t>a high-level overview of the</w:t>
      </w:r>
      <w:r>
        <w:t xml:space="preserve"> proposed program</w:t>
      </w:r>
      <w:r w:rsidR="00EE1CA5">
        <w:t xml:space="preserve"> and</w:t>
      </w:r>
      <w:r>
        <w:t xml:space="preserve"> summar</w:t>
      </w:r>
      <w:r w:rsidR="00EE1CA5">
        <w:t>izes</w:t>
      </w:r>
      <w:r>
        <w:t xml:space="preserve"> what product is being considered and the proposed use of funds.</w:t>
      </w:r>
    </w:p>
    <w:p w14:paraId="146FFEF5" w14:textId="30B52D0F" w:rsidR="00BF4369" w:rsidRDefault="00BF4369" w:rsidP="00F33674">
      <w:pPr>
        <w:pStyle w:val="Heading3"/>
      </w:pPr>
      <w:bookmarkStart w:id="43" w:name="_Toc188863869"/>
      <w:r>
        <w:t>I.</w:t>
      </w:r>
      <w:r w:rsidR="003F14DC">
        <w:t>4</w:t>
      </w:r>
      <w:r>
        <w:t xml:space="preserve"> </w:t>
      </w:r>
      <w:r w:rsidR="004A191F" w:rsidRPr="000C685D">
        <w:t>Application Workbook</w:t>
      </w:r>
      <w:bookmarkEnd w:id="43"/>
    </w:p>
    <w:p w14:paraId="2584AD79" w14:textId="08F6C9EC" w:rsidR="004A191F" w:rsidRPr="00B50019" w:rsidRDefault="004A191F" w:rsidP="004C08A0">
      <w:r w:rsidRPr="00B50019">
        <w:t>All organizations applying for a grant must include as part of their application a plan to create new affordable home ownership and home preservation opportunities for the targeted areas identified in their application.</w:t>
      </w:r>
    </w:p>
    <w:p w14:paraId="642E4EBE" w14:textId="21979E91" w:rsidR="00A87ADF" w:rsidRPr="00BF4369" w:rsidRDefault="004A191F" w:rsidP="00A87ADF">
      <w:r>
        <w:t>Applicants must use the appropriate worksheet</w:t>
      </w:r>
      <w:r w:rsidR="00F33674">
        <w:t>(s)</w:t>
      </w:r>
      <w:r>
        <w:t xml:space="preserve"> from the Application Workbook </w:t>
      </w:r>
      <w:r w:rsidR="00F33674">
        <w:t xml:space="preserve">for each activity they are applying for </w:t>
      </w:r>
      <w:r>
        <w:t>and include all the required information/documentation.</w:t>
      </w:r>
      <w:r w:rsidR="004C08A0">
        <w:t xml:space="preserve"> </w:t>
      </w:r>
      <w:r>
        <w:t xml:space="preserve">A </w:t>
      </w:r>
      <w:r w:rsidR="00F33674">
        <w:t>complete Application Workbook tab</w:t>
      </w:r>
      <w:r>
        <w:t xml:space="preserve"> for each activity must be submitted if applying for funding for more than one activity. The Application Workbook is an Excel spreadsheet. Each tab in the workbook represents an activity. Fill out the tab that corresponds to the activity for which you are applying</w:t>
      </w:r>
      <w:r w:rsidR="004C08A0">
        <w:t>.</w:t>
      </w:r>
    </w:p>
    <w:p w14:paraId="4089D524" w14:textId="77777777" w:rsidR="00687162" w:rsidRDefault="00687162">
      <w:pPr>
        <w:spacing w:before="120" w:after="0"/>
        <w:rPr>
          <w:rFonts w:asciiTheme="minorHAnsi" w:eastAsiaTheme="majorEastAsia" w:hAnsiTheme="minorHAnsi" w:cs="Arial"/>
          <w:b/>
          <w:color w:val="003865" w:themeColor="accent1"/>
          <w:sz w:val="26"/>
          <w:szCs w:val="24"/>
        </w:rPr>
      </w:pPr>
      <w:bookmarkStart w:id="44" w:name="_Toc188863870"/>
      <w:r>
        <w:br w:type="page"/>
      </w:r>
    </w:p>
    <w:p w14:paraId="2E76AA09" w14:textId="318E70CA" w:rsidR="00BF4369" w:rsidRDefault="00BF4369" w:rsidP="004C08A0">
      <w:pPr>
        <w:pStyle w:val="Heading3"/>
      </w:pPr>
      <w:r>
        <w:lastRenderedPageBreak/>
        <w:t>I.</w:t>
      </w:r>
      <w:r w:rsidR="003F14DC">
        <w:t>5</w:t>
      </w:r>
      <w:r>
        <w:t xml:space="preserve"> </w:t>
      </w:r>
      <w:r w:rsidR="004C08A0">
        <w:t xml:space="preserve">Application </w:t>
      </w:r>
      <w:r>
        <w:t>Budget</w:t>
      </w:r>
      <w:bookmarkEnd w:id="44"/>
    </w:p>
    <w:p w14:paraId="41CFD13D" w14:textId="7EAD0D71" w:rsidR="00BF4369" w:rsidRDefault="004C08A0" w:rsidP="00BF4369">
      <w:r>
        <w:t>A</w:t>
      </w:r>
      <w:r w:rsidR="00BF4369">
        <w:t xml:space="preserve">pplicants must </w:t>
      </w:r>
      <w:r>
        <w:t>use the appropriate worksheet(s) from the Application Budget for each activity they are applying for and include all the required information/documentation.  A complete Application Budget worksheet for each activity must be submitted if applying for funding for more than one activity.  The Application Budget is an Excel spreadsheet.  Each tab in the spreadsheet represents an activity.  Fill out the tab that corresponds to the activity for which you are applying.</w:t>
      </w:r>
    </w:p>
    <w:p w14:paraId="27101D88" w14:textId="3A9F2729" w:rsidR="000C685D" w:rsidRDefault="00E377C8" w:rsidP="004C08A0">
      <w:pPr>
        <w:pStyle w:val="Heading3"/>
      </w:pPr>
      <w:r>
        <w:t xml:space="preserve"> </w:t>
      </w:r>
      <w:bookmarkStart w:id="45" w:name="_Toc188863871"/>
      <w:r w:rsidR="000C685D">
        <w:t>I.</w:t>
      </w:r>
      <w:r w:rsidR="002004FA">
        <w:t>6</w:t>
      </w:r>
      <w:r w:rsidR="000C685D">
        <w:t xml:space="preserve"> Application Checklist</w:t>
      </w:r>
      <w:bookmarkEnd w:id="45"/>
    </w:p>
    <w:p w14:paraId="7A5244A1" w14:textId="0E72373F" w:rsidR="0026172C" w:rsidRDefault="0026172C" w:rsidP="0026172C">
      <w:pPr>
        <w:pStyle w:val="ListParagraph"/>
        <w:numPr>
          <w:ilvl w:val="0"/>
          <w:numId w:val="32"/>
        </w:numPr>
        <w:spacing w:line="268" w:lineRule="auto"/>
      </w:pPr>
      <w:r>
        <w:rPr>
          <w:rFonts w:cs="Book Antiqua"/>
          <w:szCs w:val="24"/>
        </w:rPr>
        <w:fldChar w:fldCharType="begin">
          <w:ffData>
            <w:name w:val="Check1"/>
            <w:enabled/>
            <w:calcOnExit w:val="0"/>
            <w:checkBox>
              <w:sizeAuto/>
              <w:default w:val="0"/>
              <w:checked w:val="0"/>
            </w:checkBox>
          </w:ffData>
        </w:fldChar>
      </w:r>
      <w:bookmarkStart w:id="46" w:name="Check1"/>
      <w:r>
        <w:rPr>
          <w:rFonts w:cs="Book Antiqua"/>
          <w:szCs w:val="24"/>
        </w:rPr>
        <w:instrText xml:space="preserve"> FORMCHECKBOX </w:instrText>
      </w:r>
      <w:r w:rsidR="005518DB">
        <w:rPr>
          <w:rFonts w:cs="Book Antiqua"/>
          <w:szCs w:val="24"/>
        </w:rPr>
      </w:r>
      <w:r w:rsidR="005518DB">
        <w:rPr>
          <w:rFonts w:cs="Book Antiqua"/>
          <w:szCs w:val="24"/>
        </w:rPr>
        <w:fldChar w:fldCharType="separate"/>
      </w:r>
      <w:r>
        <w:rPr>
          <w:rFonts w:cs="Book Antiqua"/>
          <w:szCs w:val="24"/>
        </w:rPr>
        <w:fldChar w:fldCharType="end"/>
      </w:r>
      <w:bookmarkEnd w:id="46"/>
      <w:r>
        <w:rPr>
          <w:rFonts w:cs="Book Antiqua"/>
          <w:szCs w:val="24"/>
        </w:rPr>
        <w:t xml:space="preserve"> </w:t>
      </w:r>
      <w:r>
        <w:t>Application and Signature Page,</w:t>
      </w:r>
    </w:p>
    <w:bookmarkStart w:id="47" w:name="_Hlk160279950"/>
    <w:p w14:paraId="3B28D556" w14:textId="71BA0271" w:rsidR="002004FA" w:rsidRDefault="002004FA" w:rsidP="002004FA">
      <w:pPr>
        <w:pStyle w:val="ListParagraph"/>
        <w:numPr>
          <w:ilvl w:val="0"/>
          <w:numId w:val="32"/>
        </w:numPr>
        <w:spacing w:before="0" w:after="0" w:line="268" w:lineRule="auto"/>
        <w:rPr>
          <w:rFonts w:cs="Book Antiqua"/>
          <w:szCs w:val="24"/>
        </w:rPr>
      </w:pPr>
      <w:r>
        <w:fldChar w:fldCharType="begin">
          <w:ffData>
            <w:name w:val="Check1"/>
            <w:enabled/>
            <w:calcOnExit w:val="0"/>
            <w:checkBox>
              <w:sizeAuto/>
              <w:default w:val="0"/>
              <w:checked w:val="0"/>
            </w:checkBox>
          </w:ffData>
        </w:fldChar>
      </w:r>
      <w:r>
        <w:rPr>
          <w:rFonts w:cs="Book Antiqua"/>
          <w:szCs w:val="24"/>
        </w:rPr>
        <w:instrText xml:space="preserve"> FORMCHECKBOX </w:instrText>
      </w:r>
      <w:r w:rsidR="005518DB">
        <w:fldChar w:fldCharType="separate"/>
      </w:r>
      <w:r>
        <w:fldChar w:fldCharType="end"/>
      </w:r>
      <w:r>
        <w:rPr>
          <w:rFonts w:cs="Book Antiqua"/>
          <w:szCs w:val="24"/>
        </w:rPr>
        <w:t xml:space="preserve"> Pre-Award Risk Assessment Form and accompanying documents detailed in the form</w:t>
      </w:r>
    </w:p>
    <w:p w14:paraId="288D1C36" w14:textId="37C351D7" w:rsidR="002004FA" w:rsidRDefault="008560E8" w:rsidP="002004FA">
      <w:pPr>
        <w:pStyle w:val="ListParagraph"/>
        <w:numPr>
          <w:ilvl w:val="1"/>
          <w:numId w:val="32"/>
        </w:numPr>
        <w:spacing w:before="0" w:after="0" w:line="268" w:lineRule="auto"/>
        <w:rPr>
          <w:rFonts w:cs="Book Antiqua"/>
          <w:szCs w:val="24"/>
        </w:rPr>
      </w:pPr>
      <w:r w:rsidRPr="00630EFC">
        <w:rPr>
          <w:rFonts w:eastAsiaTheme="majorEastAsia" w:cs="Book Antiqua"/>
          <w:szCs w:val="24"/>
        </w:rPr>
        <w:t>Risk Assessment Form—Nonprofit Organizations</w:t>
      </w:r>
    </w:p>
    <w:p w14:paraId="48800089" w14:textId="77777777" w:rsidR="002004FA" w:rsidRDefault="002004FA" w:rsidP="002004FA">
      <w:pPr>
        <w:pStyle w:val="ListParagraph"/>
        <w:numPr>
          <w:ilvl w:val="1"/>
          <w:numId w:val="32"/>
        </w:numPr>
        <w:spacing w:before="0" w:after="0" w:line="268" w:lineRule="auto"/>
        <w:rPr>
          <w:rFonts w:cs="Book Antiqua"/>
          <w:szCs w:val="24"/>
        </w:rPr>
      </w:pPr>
      <w:r>
        <w:rPr>
          <w:rFonts w:cs="Book Antiqua"/>
          <w:szCs w:val="24"/>
        </w:rPr>
        <w:t>Accompanying Documentation:</w:t>
      </w:r>
    </w:p>
    <w:p w14:paraId="71A15518" w14:textId="4F3C7624" w:rsidR="002004FA" w:rsidRDefault="002004FA" w:rsidP="002004FA">
      <w:pPr>
        <w:pStyle w:val="ListParagraph"/>
        <w:numPr>
          <w:ilvl w:val="2"/>
          <w:numId w:val="32"/>
        </w:numPr>
        <w:spacing w:after="0" w:line="268" w:lineRule="auto"/>
        <w:rPr>
          <w:rFonts w:cs="Calibri"/>
          <w:szCs w:val="24"/>
        </w:rPr>
      </w:pPr>
      <w:r>
        <w:rPr>
          <w:rFonts w:cs="Calibri"/>
          <w:szCs w:val="24"/>
        </w:rPr>
        <w:t>Financial Documents related to the applicant organization and detailed on the Risk Assessment Form</w:t>
      </w:r>
    </w:p>
    <w:p w14:paraId="554A64F1" w14:textId="77777777" w:rsidR="002004FA" w:rsidRDefault="002004FA" w:rsidP="002004FA">
      <w:pPr>
        <w:pStyle w:val="ListParagraph"/>
        <w:numPr>
          <w:ilvl w:val="3"/>
          <w:numId w:val="32"/>
        </w:numPr>
        <w:spacing w:after="0" w:line="268" w:lineRule="auto"/>
        <w:rPr>
          <w:rFonts w:cs="Calibri"/>
          <w:szCs w:val="24"/>
        </w:rPr>
      </w:pPr>
      <w:r w:rsidRPr="00BA109B">
        <w:t>Internal Controls Certification</w:t>
      </w:r>
      <w:r>
        <w:rPr>
          <w:rFonts w:cs="Calibri"/>
          <w:szCs w:val="24"/>
        </w:rPr>
        <w:t>—Nonprofits Organizations, if applicable</w:t>
      </w:r>
    </w:p>
    <w:p w14:paraId="220F48B2" w14:textId="77777777" w:rsidR="002004FA" w:rsidRDefault="002004FA" w:rsidP="002004FA">
      <w:pPr>
        <w:pStyle w:val="ListParagraph"/>
        <w:numPr>
          <w:ilvl w:val="2"/>
          <w:numId w:val="32"/>
        </w:numPr>
        <w:spacing w:after="0" w:line="268" w:lineRule="auto"/>
        <w:rPr>
          <w:rFonts w:cs="Calibri"/>
          <w:szCs w:val="24"/>
        </w:rPr>
      </w:pPr>
      <w:r>
        <w:rPr>
          <w:rFonts w:cs="Calibri"/>
          <w:szCs w:val="24"/>
        </w:rPr>
        <w:t xml:space="preserve">Evidence of good standing with the Minnesota Secretary of State </w:t>
      </w:r>
    </w:p>
    <w:p w14:paraId="3F6491A8" w14:textId="77777777" w:rsidR="002004FA" w:rsidRDefault="002004FA" w:rsidP="002004FA">
      <w:pPr>
        <w:pStyle w:val="ListParagraph"/>
        <w:numPr>
          <w:ilvl w:val="2"/>
          <w:numId w:val="32"/>
        </w:numPr>
        <w:spacing w:after="0" w:line="268" w:lineRule="auto"/>
        <w:rPr>
          <w:rFonts w:cs="Calibri"/>
          <w:szCs w:val="24"/>
        </w:rPr>
      </w:pPr>
      <w:r>
        <w:rPr>
          <w:rFonts w:cs="Calibri"/>
          <w:szCs w:val="24"/>
        </w:rPr>
        <w:t>Certification of no convictions of felony financial crimes by a principal, along with a list of principals being certified.</w:t>
      </w:r>
    </w:p>
    <w:bookmarkEnd w:id="47"/>
    <w:p w14:paraId="27A07F11" w14:textId="46365F50" w:rsidR="00E70B78" w:rsidRDefault="00E70B78" w:rsidP="002004FA">
      <w:pPr>
        <w:pStyle w:val="ListParagraph"/>
        <w:numPr>
          <w:ilvl w:val="0"/>
          <w:numId w:val="32"/>
        </w:numPr>
        <w:spacing w:after="0" w:line="268" w:lineRule="auto"/>
        <w:rPr>
          <w:rFonts w:ascii="Cambria" w:hAnsi="Cambria"/>
          <w:szCs w:val="24"/>
        </w:rPr>
      </w:pPr>
      <w:r>
        <w:rPr>
          <w:rFonts w:cs="Book Antiqua"/>
          <w:szCs w:val="24"/>
        </w:rPr>
        <w:t>Documentation of Leveraged Funds (if applicable).</w:t>
      </w:r>
      <w:r w:rsidR="00CE0B95">
        <w:rPr>
          <w:rFonts w:cs="Book Antiqua"/>
          <w:szCs w:val="24"/>
        </w:rPr>
        <w:t xml:space="preserve"> </w:t>
      </w:r>
      <w:r>
        <w:rPr>
          <w:rFonts w:cs="Book Antiqua"/>
          <w:szCs w:val="24"/>
        </w:rPr>
        <w:t>See section G</w:t>
      </w:r>
      <w:r w:rsidR="00A87ADF">
        <w:rPr>
          <w:rFonts w:cs="Book Antiqua"/>
          <w:szCs w:val="24"/>
        </w:rPr>
        <w:t>3</w:t>
      </w:r>
      <w:r>
        <w:rPr>
          <w:rFonts w:cs="Book Antiqua"/>
          <w:szCs w:val="24"/>
        </w:rPr>
        <w:t xml:space="preserve"> above for more detail.</w:t>
      </w:r>
    </w:p>
    <w:p w14:paraId="2607CE0E" w14:textId="0171E5C0" w:rsidR="002004FA" w:rsidRDefault="002004FA" w:rsidP="002004FA">
      <w:pPr>
        <w:pStyle w:val="ListParagraph"/>
        <w:numPr>
          <w:ilvl w:val="0"/>
          <w:numId w:val="32"/>
        </w:numPr>
        <w:spacing w:after="0" w:line="268" w:lineRule="auto"/>
        <w:rPr>
          <w:rFonts w:cs="Book Antiqua"/>
          <w:szCs w:val="24"/>
        </w:rPr>
      </w:pPr>
      <w:r>
        <w:rPr>
          <w:rFonts w:cs="Book Antiqua"/>
          <w:szCs w:val="24"/>
        </w:rPr>
        <w:fldChar w:fldCharType="begin">
          <w:ffData>
            <w:name w:val="Check1"/>
            <w:enabled/>
            <w:calcOnExit w:val="0"/>
            <w:checkBox>
              <w:sizeAuto/>
              <w:default w:val="0"/>
              <w:checked w:val="0"/>
            </w:checkBox>
          </w:ffData>
        </w:fldChar>
      </w:r>
      <w:r>
        <w:rPr>
          <w:rFonts w:cs="Book Antiqua"/>
          <w:szCs w:val="24"/>
        </w:rPr>
        <w:instrText xml:space="preserve"> FORMCHECKBOX </w:instrText>
      </w:r>
      <w:r w:rsidR="005518DB">
        <w:rPr>
          <w:rFonts w:cs="Book Antiqua"/>
          <w:szCs w:val="24"/>
        </w:rPr>
      </w:r>
      <w:r w:rsidR="005518DB">
        <w:rPr>
          <w:rFonts w:cs="Book Antiqua"/>
          <w:szCs w:val="24"/>
        </w:rPr>
        <w:fldChar w:fldCharType="separate"/>
      </w:r>
      <w:r>
        <w:rPr>
          <w:rFonts w:cs="Book Antiqua"/>
          <w:szCs w:val="24"/>
        </w:rPr>
        <w:fldChar w:fldCharType="end"/>
      </w:r>
      <w:r>
        <w:rPr>
          <w:rFonts w:cs="Book Antiqua"/>
          <w:szCs w:val="24"/>
        </w:rPr>
        <w:t xml:space="preserve"> Community Development Financial Institution Treasury Certification</w:t>
      </w:r>
    </w:p>
    <w:p w14:paraId="1478C7F4" w14:textId="31AC0680" w:rsidR="002004FA" w:rsidRPr="000E3FCB" w:rsidRDefault="002004FA" w:rsidP="002004FA">
      <w:pPr>
        <w:pStyle w:val="ListParagraph"/>
        <w:numPr>
          <w:ilvl w:val="0"/>
          <w:numId w:val="32"/>
        </w:numPr>
        <w:spacing w:after="0" w:line="268" w:lineRule="auto"/>
        <w:rPr>
          <w:rFonts w:cs="Book Antiqua"/>
          <w:szCs w:val="24"/>
        </w:rPr>
      </w:pPr>
      <w:r>
        <w:rPr>
          <w:rFonts w:cs="Book Antiqua"/>
          <w:szCs w:val="24"/>
        </w:rPr>
        <w:fldChar w:fldCharType="begin">
          <w:ffData>
            <w:name w:val="Check1"/>
            <w:enabled/>
            <w:calcOnExit w:val="0"/>
            <w:checkBox>
              <w:sizeAuto/>
              <w:default w:val="0"/>
              <w:checked w:val="0"/>
            </w:checkBox>
          </w:ffData>
        </w:fldChar>
      </w:r>
      <w:r>
        <w:rPr>
          <w:rFonts w:cs="Book Antiqua"/>
          <w:szCs w:val="24"/>
        </w:rPr>
        <w:instrText xml:space="preserve"> FORMCHECKBOX </w:instrText>
      </w:r>
      <w:r w:rsidR="005518DB">
        <w:rPr>
          <w:rFonts w:cs="Book Antiqua"/>
          <w:szCs w:val="24"/>
        </w:rPr>
      </w:r>
      <w:r w:rsidR="005518DB">
        <w:rPr>
          <w:rFonts w:cs="Book Antiqua"/>
          <w:szCs w:val="24"/>
        </w:rPr>
        <w:fldChar w:fldCharType="separate"/>
      </w:r>
      <w:r>
        <w:rPr>
          <w:rFonts w:cs="Book Antiqua"/>
          <w:szCs w:val="24"/>
        </w:rPr>
        <w:fldChar w:fldCharType="end"/>
      </w:r>
      <w:r>
        <w:rPr>
          <w:rFonts w:cs="Book Antiqua"/>
          <w:szCs w:val="24"/>
        </w:rPr>
        <w:t xml:space="preserve"> 501(c)(3) certification</w:t>
      </w:r>
    </w:p>
    <w:p w14:paraId="545FA633" w14:textId="5D8D12CD" w:rsidR="00704EE7" w:rsidRDefault="00704EE7" w:rsidP="000C685D">
      <w:r>
        <w:t>All</w:t>
      </w:r>
      <w:r w:rsidR="000C685D">
        <w:t xml:space="preserve"> items on the Application Checklist must be </w:t>
      </w:r>
      <w:r>
        <w:t>completed and submitted to meet the threshold criteria.</w:t>
      </w:r>
      <w:r w:rsidR="00CE0B95">
        <w:t xml:space="preserve"> </w:t>
      </w:r>
      <w:r>
        <w:t>Only applications meeting the threshold criteria will be considered for funding</w:t>
      </w:r>
      <w:r w:rsidR="000C685D">
        <w:t>.</w:t>
      </w:r>
    </w:p>
    <w:p w14:paraId="2E80C3AA" w14:textId="08172681" w:rsidR="00845BB1" w:rsidRDefault="00845BB1" w:rsidP="00905E8F">
      <w:pPr>
        <w:pStyle w:val="ListParagraph"/>
        <w:numPr>
          <w:ilvl w:val="0"/>
          <w:numId w:val="0"/>
        </w:numPr>
      </w:pPr>
      <w:r w:rsidRPr="00DD10DD">
        <w:rPr>
          <w:rStyle w:val="Strong"/>
        </w:rPr>
        <w:t>NOTE:</w:t>
      </w:r>
      <w:r w:rsidRPr="00DD10DD">
        <w:t xml:space="preserve"> Applicants must understand the application components and what types of submission materials are required to satisfy each required component. Applications that do not contain all required components (completed and submitted properly) will be noted as incomplete</w:t>
      </w:r>
      <w:r w:rsidR="00C177A0">
        <w:t>, will not pass the minimum threshold criteria</w:t>
      </w:r>
      <w:r w:rsidRPr="00DD10DD">
        <w:t xml:space="preserve"> and</w:t>
      </w:r>
      <w:r w:rsidR="003F4C9A">
        <w:t xml:space="preserve"> will</w:t>
      </w:r>
      <w:r w:rsidRPr="00DD10DD">
        <w:t xml:space="preserve"> not</w:t>
      </w:r>
      <w:r w:rsidR="003F4C9A">
        <w:t xml:space="preserve"> be</w:t>
      </w:r>
      <w:r w:rsidRPr="00DD10DD">
        <w:t xml:space="preserve"> eligible for further review, including scoring. Minnesota Housing is unable to </w:t>
      </w:r>
      <w:r w:rsidR="00D72E9E">
        <w:t>provide notice if an application is</w:t>
      </w:r>
      <w:r w:rsidRPr="00DD10DD">
        <w:t xml:space="preserve"> incompl</w:t>
      </w:r>
      <w:r w:rsidR="003F4C9A">
        <w:t>et</w:t>
      </w:r>
      <w:r w:rsidRPr="00DD10DD">
        <w:t>e</w:t>
      </w:r>
      <w:r w:rsidR="00C177A0">
        <w:t xml:space="preserve"> during the review, scoring and selections process</w:t>
      </w:r>
      <w:r w:rsidR="00C32E65">
        <w:t>.</w:t>
      </w:r>
    </w:p>
    <w:p w14:paraId="1790CFB0" w14:textId="26938B38" w:rsidR="00816F45" w:rsidRDefault="00816F45" w:rsidP="00B25A8A">
      <w:pPr>
        <w:spacing w:after="0"/>
      </w:pPr>
      <w:r w:rsidRPr="00DD10DD">
        <w:t>If you have questions regarding checklist items listed above, contact the designated contact found at the end of this document. Allow enough time for staff to respond and help resolve issues so that a complete application can be submitted prior to the application submission deadline. Also note that technical assistance does not guarantee that a complete application</w:t>
      </w:r>
      <w:r w:rsidR="00D72E9E">
        <w:t xml:space="preserve"> will be submitted</w:t>
      </w:r>
      <w:r w:rsidR="001E435D">
        <w:t xml:space="preserve"> or that an </w:t>
      </w:r>
      <w:r w:rsidR="0068361B">
        <w:t>A</w:t>
      </w:r>
      <w:r w:rsidR="001E435D">
        <w:t>pplicant will receive funding</w:t>
      </w:r>
      <w:r w:rsidRPr="00DD10DD">
        <w:t>.</w:t>
      </w:r>
    </w:p>
    <w:p w14:paraId="60023A2A" w14:textId="535A5BBE" w:rsidR="006900BD" w:rsidRPr="00D8567E" w:rsidRDefault="006900BD" w:rsidP="00B50019">
      <w:pPr>
        <w:pStyle w:val="Heading2"/>
        <w:numPr>
          <w:ilvl w:val="0"/>
          <w:numId w:val="15"/>
        </w:numPr>
        <w:ind w:left="360"/>
      </w:pPr>
      <w:bookmarkStart w:id="48" w:name="_Toc162441882"/>
      <w:bookmarkStart w:id="49" w:name="_Toc188863872"/>
      <w:r w:rsidRPr="00D8567E">
        <w:lastRenderedPageBreak/>
        <w:t>Submission Instructions</w:t>
      </w:r>
      <w:bookmarkEnd w:id="48"/>
      <w:bookmarkEnd w:id="49"/>
    </w:p>
    <w:p w14:paraId="4AD7DD46" w14:textId="02C2A52B" w:rsidR="00DA42F9" w:rsidRDefault="00DA42F9" w:rsidP="0036265D">
      <w:pPr>
        <w:autoSpaceDE w:val="0"/>
        <w:autoSpaceDN w:val="0"/>
        <w:adjustRightInd w:val="0"/>
        <w:spacing w:after="0" w:line="240" w:lineRule="auto"/>
        <w:rPr>
          <w:rStyle w:val="ui-provider"/>
          <w:rFonts w:eastAsiaTheme="majorEastAsia"/>
        </w:rPr>
      </w:pPr>
      <w:r>
        <w:rPr>
          <w:rStyle w:val="ui-provider"/>
          <w:rFonts w:eastAsiaTheme="majorEastAsia"/>
        </w:rPr>
        <w:t xml:space="preserve">Submit </w:t>
      </w:r>
      <w:r w:rsidR="00B36F81">
        <w:rPr>
          <w:rStyle w:val="ui-provider"/>
          <w:rFonts w:eastAsiaTheme="majorEastAsia"/>
        </w:rPr>
        <w:t xml:space="preserve">all application materials in one upload using the Single Family Secure File Exchange, accessible on the </w:t>
      </w:r>
      <w:hyperlink r:id="rId18" w:history="1">
        <w:r w:rsidR="00B36F81" w:rsidRPr="008560E8">
          <w:rPr>
            <w:rStyle w:val="Hyperlink"/>
            <w:rFonts w:eastAsiaTheme="majorEastAsia"/>
          </w:rPr>
          <w:t xml:space="preserve">Community Initiatives Programs </w:t>
        </w:r>
        <w:r w:rsidR="004F6003" w:rsidRPr="008560E8">
          <w:rPr>
            <w:rStyle w:val="Hyperlink"/>
            <w:rFonts w:eastAsiaTheme="majorEastAsia"/>
          </w:rPr>
          <w:t>webpage</w:t>
        </w:r>
      </w:hyperlink>
      <w:r w:rsidR="00B36F81">
        <w:rPr>
          <w:rStyle w:val="ui-provider"/>
          <w:rFonts w:eastAsiaTheme="majorEastAsia"/>
        </w:rPr>
        <w:t xml:space="preserve">, </w:t>
      </w:r>
      <w:r w:rsidR="00B36F81" w:rsidRPr="000C5538">
        <w:rPr>
          <w:rStyle w:val="ui-provider"/>
          <w:rFonts w:eastAsiaTheme="majorEastAsia"/>
          <w:b/>
          <w:bCs/>
        </w:rPr>
        <w:t xml:space="preserve">no later than noon Central </w:t>
      </w:r>
      <w:r w:rsidR="00EE1CA5">
        <w:rPr>
          <w:rStyle w:val="ui-provider"/>
          <w:rFonts w:eastAsiaTheme="majorEastAsia"/>
          <w:b/>
          <w:bCs/>
        </w:rPr>
        <w:t>t</w:t>
      </w:r>
      <w:r w:rsidR="00B36F81" w:rsidRPr="000C5538">
        <w:rPr>
          <w:rStyle w:val="ui-provider"/>
          <w:rFonts w:eastAsiaTheme="majorEastAsia"/>
          <w:b/>
          <w:bCs/>
        </w:rPr>
        <w:t xml:space="preserve">ime on </w:t>
      </w:r>
      <w:r w:rsidR="00C177A0" w:rsidRPr="000C5538">
        <w:rPr>
          <w:rStyle w:val="ui-provider"/>
          <w:rFonts w:eastAsiaTheme="majorEastAsia"/>
          <w:b/>
          <w:bCs/>
        </w:rPr>
        <w:t>Monday, February 10, 2025</w:t>
      </w:r>
      <w:r w:rsidR="00C177A0">
        <w:rPr>
          <w:rStyle w:val="ui-provider"/>
          <w:rFonts w:eastAsiaTheme="majorEastAsia"/>
        </w:rPr>
        <w:t xml:space="preserve"> </w:t>
      </w:r>
      <w:r w:rsidR="00B36F81">
        <w:rPr>
          <w:rStyle w:val="ui-provider"/>
          <w:rFonts w:eastAsiaTheme="majorEastAsia"/>
        </w:rPr>
        <w:t>in order to be considered for funding.</w:t>
      </w:r>
    </w:p>
    <w:p w14:paraId="6E578405" w14:textId="0E1DA3AB" w:rsidR="00DA42F9" w:rsidRDefault="00DA42F9" w:rsidP="0036265D">
      <w:pPr>
        <w:autoSpaceDE w:val="0"/>
        <w:autoSpaceDN w:val="0"/>
        <w:adjustRightInd w:val="0"/>
        <w:spacing w:after="0" w:line="240" w:lineRule="auto"/>
        <w:rPr>
          <w:rStyle w:val="ui-provider"/>
          <w:rFonts w:eastAsiaTheme="majorEastAsia"/>
        </w:rPr>
      </w:pPr>
      <w:r>
        <w:rPr>
          <w:rStyle w:val="ui-provider"/>
          <w:rFonts w:eastAsiaTheme="majorEastAsia"/>
        </w:rPr>
        <w:t xml:space="preserve">The Secure File Exchange will direct you to send items to the following email: </w:t>
      </w:r>
      <w:hyperlink r:id="rId19" w:history="1">
        <w:r w:rsidR="000B3EEF" w:rsidRPr="00CB5995">
          <w:rPr>
            <w:rStyle w:val="Hyperlink"/>
            <w:rFonts w:eastAsiaTheme="majorEastAsia"/>
          </w:rPr>
          <w:t>Laurie.zabel@state.mn.us</w:t>
        </w:r>
      </w:hyperlink>
      <w:r>
        <w:rPr>
          <w:rStyle w:val="ui-provider"/>
          <w:rFonts w:eastAsiaTheme="majorEastAsia"/>
        </w:rPr>
        <w:t>.</w:t>
      </w:r>
      <w:r w:rsidR="00CE0B95">
        <w:rPr>
          <w:rStyle w:val="ui-provider"/>
          <w:rFonts w:eastAsiaTheme="majorEastAsia"/>
        </w:rPr>
        <w:t xml:space="preserve"> </w:t>
      </w:r>
      <w:r>
        <w:rPr>
          <w:rStyle w:val="ui-provider"/>
          <w:rFonts w:eastAsiaTheme="majorEastAsia"/>
        </w:rPr>
        <w:t xml:space="preserve">Review the </w:t>
      </w:r>
      <w:r w:rsidR="00A87ADF">
        <w:rPr>
          <w:rStyle w:val="ui-provider"/>
          <w:rFonts w:eastAsiaTheme="majorEastAsia"/>
        </w:rPr>
        <w:fldChar w:fldCharType="begin"/>
      </w:r>
      <w:r w:rsidR="00630EFC" w:rsidDel="00630EFC">
        <w:rPr>
          <w:rStyle w:val="ui-provider"/>
          <w:rFonts w:eastAsiaTheme="majorEastAsia"/>
        </w:rPr>
        <w:instrText xml:space="preserve"> </w:instrText>
      </w:r>
      <w:r w:rsidR="00A87ADF">
        <w:rPr>
          <w:rStyle w:val="ui-provider"/>
          <w:rFonts w:eastAsiaTheme="majorEastAsia"/>
        </w:rPr>
        <w:fldChar w:fldCharType="separate"/>
      </w:r>
      <w:r w:rsidR="00630EFC">
        <w:rPr>
          <w:rStyle w:val="Hyperlink"/>
          <w:rFonts w:eastAsiaTheme="majorEastAsia"/>
        </w:rPr>
        <w:t>Secure File Upload Instructions</w:t>
      </w:r>
      <w:r w:rsidR="00A87ADF">
        <w:rPr>
          <w:rStyle w:val="ui-provider"/>
          <w:rFonts w:eastAsiaTheme="majorEastAsia"/>
        </w:rPr>
        <w:fldChar w:fldCharType="end"/>
      </w:r>
      <w:hyperlink r:id="rId20" w:history="1">
        <w:r w:rsidR="00630EFC" w:rsidRPr="00630EFC">
          <w:rPr>
            <w:rStyle w:val="Hyperlink"/>
            <w:rFonts w:eastAsiaTheme="majorEastAsia"/>
          </w:rPr>
          <w:t>Secure File Exchange Instructions</w:t>
        </w:r>
      </w:hyperlink>
      <w:r w:rsidR="00630EFC">
        <w:rPr>
          <w:rStyle w:val="ui-provider"/>
          <w:rFonts w:eastAsiaTheme="majorEastAsia"/>
        </w:rPr>
        <w:t xml:space="preserve"> </w:t>
      </w:r>
      <w:r>
        <w:rPr>
          <w:rStyle w:val="ui-provider"/>
          <w:rFonts w:eastAsiaTheme="majorEastAsia"/>
        </w:rPr>
        <w:t>for more information.</w:t>
      </w:r>
    </w:p>
    <w:p w14:paraId="08E262FD" w14:textId="3F4A8FBC" w:rsidR="00DA42F9" w:rsidRDefault="00B36F81" w:rsidP="0036265D">
      <w:pPr>
        <w:autoSpaceDE w:val="0"/>
        <w:autoSpaceDN w:val="0"/>
        <w:adjustRightInd w:val="0"/>
        <w:spacing w:after="0" w:line="240" w:lineRule="auto"/>
        <w:rPr>
          <w:rStyle w:val="ui-provider"/>
          <w:rFonts w:eastAsiaTheme="majorEastAsia"/>
        </w:rPr>
      </w:pPr>
      <w:r>
        <w:rPr>
          <w:rStyle w:val="ui-provider"/>
          <w:rFonts w:eastAsiaTheme="majorEastAsia"/>
        </w:rPr>
        <w:t xml:space="preserve">If you have questions regarding checklist items listed above, </w:t>
      </w:r>
      <w:r w:rsidR="00EE1CA5">
        <w:rPr>
          <w:rStyle w:val="ui-provider"/>
          <w:rFonts w:eastAsiaTheme="majorEastAsia"/>
        </w:rPr>
        <w:t xml:space="preserve">call or email </w:t>
      </w:r>
      <w:r>
        <w:rPr>
          <w:rStyle w:val="ui-provider"/>
          <w:rFonts w:eastAsiaTheme="majorEastAsia"/>
        </w:rPr>
        <w:t>the designated contact found at the end of this document.</w:t>
      </w:r>
    </w:p>
    <w:p w14:paraId="165B5378" w14:textId="2A78F862" w:rsidR="00DA42F9" w:rsidRDefault="00B36F81" w:rsidP="0036265D">
      <w:pPr>
        <w:autoSpaceDE w:val="0"/>
        <w:autoSpaceDN w:val="0"/>
        <w:adjustRightInd w:val="0"/>
        <w:spacing w:after="0" w:line="240" w:lineRule="auto"/>
        <w:rPr>
          <w:rStyle w:val="ui-provider"/>
          <w:rFonts w:eastAsiaTheme="majorEastAsia"/>
        </w:rPr>
      </w:pPr>
      <w:r>
        <w:rPr>
          <w:rStyle w:val="ui-provider"/>
          <w:rFonts w:eastAsiaTheme="majorEastAsia"/>
        </w:rPr>
        <w:t xml:space="preserve">Submitted applications are considered final; late and incomplete applications will not be considered. Minnesota Housing may request additional information or clarification. The </w:t>
      </w:r>
      <w:r w:rsidR="0068361B">
        <w:rPr>
          <w:rStyle w:val="ui-provider"/>
          <w:rFonts w:eastAsiaTheme="majorEastAsia"/>
        </w:rPr>
        <w:t>A</w:t>
      </w:r>
      <w:r>
        <w:rPr>
          <w:rStyle w:val="ui-provider"/>
          <w:rFonts w:eastAsiaTheme="majorEastAsia"/>
        </w:rPr>
        <w:t>pplicant will be responsible for all costs incurred with applying for this RFP. Award decisions are final and not subject to appeal.</w:t>
      </w:r>
    </w:p>
    <w:p w14:paraId="0CAB04CA" w14:textId="27A876AA" w:rsidR="00DA42F9" w:rsidRDefault="00DA42F9" w:rsidP="0036265D">
      <w:pPr>
        <w:autoSpaceDE w:val="0"/>
        <w:autoSpaceDN w:val="0"/>
        <w:adjustRightInd w:val="0"/>
        <w:spacing w:after="0" w:line="240" w:lineRule="auto"/>
        <w:rPr>
          <w:rFonts w:cs="Calibri"/>
          <w:color w:val="000000"/>
          <w:szCs w:val="24"/>
        </w:rPr>
      </w:pPr>
      <w:r w:rsidRPr="00E570C1">
        <w:rPr>
          <w:rFonts w:cs="Calibri"/>
          <w:color w:val="000000"/>
          <w:szCs w:val="24"/>
        </w:rPr>
        <w:t xml:space="preserve">Per the </w:t>
      </w:r>
      <w:hyperlink r:id="rId21" w:anchor=":~:text=Subd.%203.,data%20become%20public." w:history="1">
        <w:r w:rsidRPr="00E570C1">
          <w:rPr>
            <w:rStyle w:val="Hyperlink"/>
            <w:rFonts w:cs="Calibri"/>
            <w:szCs w:val="24"/>
          </w:rPr>
          <w:t>Minnesota Government Data Practices Act</w:t>
        </w:r>
      </w:hyperlink>
      <w:r w:rsidRPr="00E570C1">
        <w:rPr>
          <w:rFonts w:cs="Calibri"/>
          <w:color w:val="000000"/>
          <w:szCs w:val="24"/>
        </w:rPr>
        <w:t xml:space="preserve">, responses submitted by an </w:t>
      </w:r>
      <w:r w:rsidR="0068361B">
        <w:rPr>
          <w:rFonts w:cs="Calibri"/>
          <w:color w:val="000000"/>
          <w:szCs w:val="24"/>
        </w:rPr>
        <w:t>A</w:t>
      </w:r>
      <w:r w:rsidRPr="00E570C1">
        <w:rPr>
          <w:rFonts w:cs="Calibri"/>
          <w:color w:val="000000"/>
          <w:szCs w:val="24"/>
        </w:rPr>
        <w:t xml:space="preserve">pplicant are private or nonpublic until the responses are opened. Once the responses are opened, the name and address of the </w:t>
      </w:r>
      <w:r w:rsidR="0068361B">
        <w:rPr>
          <w:rFonts w:cs="Calibri"/>
          <w:color w:val="000000"/>
          <w:szCs w:val="24"/>
        </w:rPr>
        <w:t>A</w:t>
      </w:r>
      <w:r w:rsidRPr="00E570C1">
        <w:rPr>
          <w:rFonts w:cs="Calibri"/>
          <w:color w:val="000000"/>
          <w:szCs w:val="24"/>
        </w:rPr>
        <w:t>pplicant and the amount requested is public. All other data in a response is private or nonpublic data until completion of the evaluation process,</w:t>
      </w:r>
      <w:r w:rsidRPr="00E570C1">
        <w:rPr>
          <w:rFonts w:eastAsia="Calibri"/>
          <w:szCs w:val="24"/>
        </w:rPr>
        <w:t xml:space="preserve"> which for the purposes of this grant is when all grant agreements have been fully executed.</w:t>
      </w:r>
      <w:r w:rsidR="00CE0B95">
        <w:rPr>
          <w:rFonts w:eastAsia="Calibri"/>
          <w:szCs w:val="24"/>
        </w:rPr>
        <w:t xml:space="preserve"> </w:t>
      </w:r>
      <w:r w:rsidRPr="00E570C1">
        <w:rPr>
          <w:rFonts w:cs="Calibri"/>
          <w:color w:val="000000"/>
          <w:szCs w:val="24"/>
        </w:rPr>
        <w:t xml:space="preserve">After a granting agency has completed the evaluation process, all remaining data in the responses is public with the exception of trade secret data as defined and classified in </w:t>
      </w:r>
      <w:hyperlink r:id="rId22" w:history="1">
        <w:r w:rsidRPr="00E570C1">
          <w:rPr>
            <w:rStyle w:val="Hyperlink"/>
            <w:rFonts w:cs="Calibri"/>
            <w:szCs w:val="24"/>
          </w:rPr>
          <w:t>Section 13.37 of the Minnesota Governmental Data Practices Act</w:t>
        </w:r>
      </w:hyperlink>
      <w:r w:rsidRPr="00E570C1">
        <w:rPr>
          <w:rFonts w:cs="Calibri"/>
          <w:color w:val="000000"/>
          <w:szCs w:val="24"/>
        </w:rPr>
        <w:t xml:space="preserve">. A statement by an </w:t>
      </w:r>
      <w:r w:rsidR="0068361B">
        <w:rPr>
          <w:rFonts w:cs="Calibri"/>
          <w:color w:val="000000"/>
          <w:szCs w:val="24"/>
        </w:rPr>
        <w:t>A</w:t>
      </w:r>
      <w:r w:rsidRPr="00E570C1">
        <w:rPr>
          <w:rFonts w:cs="Calibri"/>
          <w:color w:val="000000"/>
          <w:szCs w:val="24"/>
        </w:rPr>
        <w:t>pplicant that the response is copyrighted or otherwise protected does not prevent public access to the response.</w:t>
      </w:r>
    </w:p>
    <w:p w14:paraId="7D9DBA24" w14:textId="5558370D" w:rsidR="006900BD" w:rsidRDefault="006900BD" w:rsidP="00B50019">
      <w:pPr>
        <w:pStyle w:val="Heading2"/>
        <w:numPr>
          <w:ilvl w:val="0"/>
          <w:numId w:val="15"/>
        </w:numPr>
        <w:ind w:left="360"/>
      </w:pPr>
      <w:bookmarkStart w:id="50" w:name="_Toc162441883"/>
      <w:bookmarkStart w:id="51" w:name="_Toc188863873"/>
      <w:r>
        <w:t>Due Diligence Requirements</w:t>
      </w:r>
      <w:bookmarkEnd w:id="50"/>
      <w:bookmarkEnd w:id="51"/>
    </w:p>
    <w:p w14:paraId="44FB3F15" w14:textId="69401896" w:rsidR="0036265D" w:rsidRPr="00845BB1" w:rsidRDefault="0047087C" w:rsidP="0036265D">
      <w:pPr>
        <w:spacing w:after="0" w:line="240" w:lineRule="auto"/>
        <w:rPr>
          <w:rFonts w:cs="Arial"/>
          <w:szCs w:val="24"/>
        </w:rPr>
      </w:pPr>
      <w:r w:rsidRPr="0047087C">
        <w:rPr>
          <w:rFonts w:cs="Arial"/>
          <w:szCs w:val="24"/>
        </w:rPr>
        <w:t xml:space="preserve">Due </w:t>
      </w:r>
      <w:r w:rsidR="00605CE7">
        <w:rPr>
          <w:rFonts w:cs="Arial"/>
          <w:szCs w:val="24"/>
        </w:rPr>
        <w:t>d</w:t>
      </w:r>
      <w:r w:rsidRPr="0047087C">
        <w:rPr>
          <w:rFonts w:cs="Arial"/>
          <w:szCs w:val="24"/>
        </w:rPr>
        <w:t xml:space="preserve">iligence refers to the </w:t>
      </w:r>
      <w:r w:rsidR="008849C2">
        <w:rPr>
          <w:rFonts w:cs="Arial"/>
          <w:szCs w:val="24"/>
        </w:rPr>
        <w:t>documents</w:t>
      </w:r>
      <w:r w:rsidRPr="0047087C">
        <w:rPr>
          <w:rFonts w:cs="Arial"/>
          <w:szCs w:val="24"/>
        </w:rPr>
        <w:t xml:space="preserve"> that organizations must </w:t>
      </w:r>
      <w:r w:rsidR="008849C2">
        <w:rPr>
          <w:rFonts w:cs="Arial"/>
          <w:szCs w:val="24"/>
        </w:rPr>
        <w:t>submit or actions that must be completed prior to contracting with</w:t>
      </w:r>
      <w:r w:rsidRPr="0047087C">
        <w:rPr>
          <w:rFonts w:cs="Arial"/>
          <w:szCs w:val="24"/>
        </w:rPr>
        <w:t xml:space="preserve"> Minnesota Housing. </w:t>
      </w:r>
      <w:r w:rsidR="00845BB1" w:rsidRPr="00E91287">
        <w:rPr>
          <w:rFonts w:cs="Arial"/>
          <w:b/>
          <w:bCs/>
          <w:szCs w:val="24"/>
        </w:rPr>
        <w:t xml:space="preserve">If an </w:t>
      </w:r>
      <w:r w:rsidR="0068361B">
        <w:rPr>
          <w:rFonts w:cs="Arial"/>
          <w:b/>
          <w:bCs/>
          <w:szCs w:val="24"/>
        </w:rPr>
        <w:t>A</w:t>
      </w:r>
      <w:r w:rsidR="00845BB1" w:rsidRPr="00E91287">
        <w:rPr>
          <w:rFonts w:cs="Arial"/>
          <w:b/>
          <w:bCs/>
          <w:szCs w:val="24"/>
        </w:rPr>
        <w:t>pplicant is selected for funding,</w:t>
      </w:r>
      <w:r w:rsidR="00845BB1" w:rsidRPr="00845BB1">
        <w:rPr>
          <w:rFonts w:cs="Arial"/>
          <w:szCs w:val="24"/>
        </w:rPr>
        <w:t xml:space="preserve"> </w:t>
      </w:r>
      <w:r w:rsidR="0036265D" w:rsidRPr="00845BB1">
        <w:rPr>
          <w:rFonts w:cs="Arial"/>
          <w:szCs w:val="24"/>
        </w:rPr>
        <w:t>Minnesota Housing will require the following due diligence items be submitted</w:t>
      </w:r>
      <w:r w:rsidR="00CA7E70">
        <w:rPr>
          <w:rFonts w:cs="Arial"/>
          <w:szCs w:val="24"/>
        </w:rPr>
        <w:t>.</w:t>
      </w:r>
    </w:p>
    <w:p w14:paraId="75AFDDAB" w14:textId="77777777" w:rsidR="0036265D" w:rsidRPr="00845BB1" w:rsidRDefault="0036265D" w:rsidP="00F80319">
      <w:pPr>
        <w:widowControl w:val="0"/>
        <w:numPr>
          <w:ilvl w:val="0"/>
          <w:numId w:val="3"/>
        </w:numPr>
        <w:spacing w:before="0" w:after="0" w:line="240" w:lineRule="auto"/>
        <w:ind w:right="-630"/>
        <w:rPr>
          <w:rFonts w:cs="Book Antiqua"/>
          <w:iCs/>
          <w:szCs w:val="24"/>
        </w:rPr>
      </w:pPr>
      <w:r w:rsidRPr="00845BB1">
        <w:rPr>
          <w:rFonts w:cs="Book Antiqua"/>
          <w:b/>
          <w:iCs/>
          <w:szCs w:val="24"/>
        </w:rPr>
        <w:t>Signed Grant Contract Agreement</w:t>
      </w:r>
      <w:r w:rsidRPr="00845BB1">
        <w:rPr>
          <w:rFonts w:cs="Book Antiqua"/>
          <w:iCs/>
          <w:szCs w:val="24"/>
        </w:rPr>
        <w:t xml:space="preserve"> (provided by Minnesota Housing)</w:t>
      </w:r>
    </w:p>
    <w:p w14:paraId="76D7EF8A" w14:textId="1FFE84D1" w:rsidR="0036265D" w:rsidRPr="009B4467" w:rsidRDefault="0036265D" w:rsidP="00F80319">
      <w:pPr>
        <w:widowControl w:val="0"/>
        <w:numPr>
          <w:ilvl w:val="0"/>
          <w:numId w:val="3"/>
        </w:numPr>
        <w:spacing w:before="0" w:after="0" w:line="240" w:lineRule="auto"/>
        <w:ind w:right="-630"/>
        <w:rPr>
          <w:rFonts w:cs="Book Antiqua"/>
          <w:iCs/>
          <w:szCs w:val="24"/>
        </w:rPr>
      </w:pPr>
      <w:r w:rsidRPr="009B4467">
        <w:rPr>
          <w:rFonts w:cs="Verdana"/>
          <w:b/>
          <w:szCs w:val="24"/>
        </w:rPr>
        <w:t>Board Resolution</w:t>
      </w:r>
      <w:r w:rsidRPr="009B4467">
        <w:rPr>
          <w:rFonts w:cs="Verdana"/>
          <w:szCs w:val="24"/>
        </w:rPr>
        <w:t>: A signed original, or signed and certified, copy specific to the Grant Contract Agreement that</w:t>
      </w:r>
      <w:r w:rsidRPr="009B4467">
        <w:rPr>
          <w:rFonts w:cs="Book Antiqua"/>
          <w:iCs/>
          <w:szCs w:val="24"/>
        </w:rPr>
        <w:t xml:space="preserve"> </w:t>
      </w:r>
      <w:r w:rsidRPr="009B4467">
        <w:rPr>
          <w:rFonts w:cs="Verdana"/>
          <w:szCs w:val="24"/>
        </w:rPr>
        <w:t xml:space="preserve">designates authorized signatories, </w:t>
      </w:r>
      <w:r w:rsidR="004F3A73">
        <w:rPr>
          <w:rFonts w:cs="Verdana"/>
          <w:szCs w:val="24"/>
        </w:rPr>
        <w:t xml:space="preserve">gives </w:t>
      </w:r>
      <w:r w:rsidRPr="009B4467">
        <w:rPr>
          <w:rFonts w:cs="Verdana"/>
          <w:szCs w:val="24"/>
        </w:rPr>
        <w:t>authority to enter into a Grant Contract Agreement and references the requested and/or awarded amount</w:t>
      </w:r>
      <w:r w:rsidR="005441D4" w:rsidRPr="009B4467">
        <w:rPr>
          <w:rFonts w:cs="Verdana"/>
          <w:szCs w:val="24"/>
        </w:rPr>
        <w:t>.</w:t>
      </w:r>
    </w:p>
    <w:p w14:paraId="550D7C3D" w14:textId="26B172C6" w:rsidR="0036265D" w:rsidRPr="009B4467" w:rsidRDefault="0036265D" w:rsidP="00F80319">
      <w:pPr>
        <w:numPr>
          <w:ilvl w:val="0"/>
          <w:numId w:val="3"/>
        </w:numPr>
        <w:spacing w:before="0" w:after="0" w:line="240" w:lineRule="auto"/>
        <w:contextualSpacing/>
        <w:rPr>
          <w:rFonts w:cs="Arial"/>
          <w:szCs w:val="24"/>
        </w:rPr>
      </w:pPr>
      <w:r w:rsidRPr="009B4467">
        <w:rPr>
          <w:rFonts w:cs="Arial"/>
          <w:b/>
          <w:szCs w:val="24"/>
        </w:rPr>
        <w:t>Certificate of Insuranc</w:t>
      </w:r>
      <w:r w:rsidR="003033DC" w:rsidRPr="009B4467">
        <w:rPr>
          <w:rFonts w:cs="Arial"/>
          <w:b/>
          <w:szCs w:val="24"/>
        </w:rPr>
        <w:t>e: Note Worker’s Compensation is required by statute for all grants.</w:t>
      </w:r>
    </w:p>
    <w:p w14:paraId="01641ACA" w14:textId="09A4C027" w:rsidR="0036265D" w:rsidRPr="009B4467" w:rsidRDefault="005518DB" w:rsidP="00F80319">
      <w:pPr>
        <w:numPr>
          <w:ilvl w:val="0"/>
          <w:numId w:val="3"/>
        </w:numPr>
        <w:spacing w:before="0" w:after="0" w:line="240" w:lineRule="auto"/>
        <w:contextualSpacing/>
        <w:rPr>
          <w:rFonts w:cs="Arial"/>
          <w:szCs w:val="24"/>
        </w:rPr>
      </w:pPr>
      <w:hyperlink r:id="rId23" w:history="1">
        <w:r w:rsidR="00C8304A" w:rsidRPr="009B4467">
          <w:rPr>
            <w:rStyle w:val="Hyperlink"/>
            <w:rFonts w:cs="Arial"/>
            <w:b/>
            <w:color w:val="auto"/>
            <w:szCs w:val="24"/>
          </w:rPr>
          <w:t>W-9</w:t>
        </w:r>
      </w:hyperlink>
      <w:r w:rsidR="00C8304A" w:rsidRPr="009B4467">
        <w:rPr>
          <w:rStyle w:val="Hyperlink"/>
          <w:rFonts w:cs="Arial"/>
          <w:b/>
          <w:color w:val="auto"/>
          <w:szCs w:val="24"/>
        </w:rPr>
        <w:t xml:space="preserve"> </w:t>
      </w:r>
      <w:r w:rsidR="00C8304A" w:rsidRPr="009B4467">
        <w:rPr>
          <w:rStyle w:val="Hyperlink"/>
          <w:rFonts w:cs="Arial"/>
          <w:b/>
          <w:color w:val="auto"/>
          <w:szCs w:val="24"/>
          <w:u w:val="none"/>
        </w:rPr>
        <w:t>and</w:t>
      </w:r>
      <w:r w:rsidR="00C8304A" w:rsidRPr="009B4467">
        <w:rPr>
          <w:rStyle w:val="Hyperlink"/>
          <w:rFonts w:cs="Arial"/>
          <w:b/>
          <w:color w:val="auto"/>
          <w:szCs w:val="24"/>
        </w:rPr>
        <w:t xml:space="preserve"> </w:t>
      </w:r>
      <w:hyperlink r:id="rId24" w:history="1">
        <w:r w:rsidR="00C8304A" w:rsidRPr="009B4467">
          <w:rPr>
            <w:rStyle w:val="Hyperlink"/>
            <w:rFonts w:cs="Arial"/>
            <w:b/>
            <w:color w:val="auto"/>
            <w:szCs w:val="24"/>
          </w:rPr>
          <w:t xml:space="preserve">SWIFT vendor number </w:t>
        </w:r>
      </w:hyperlink>
      <w:r w:rsidR="0036265D" w:rsidRPr="009B4467">
        <w:rPr>
          <w:rFonts w:cs="Arial"/>
          <w:szCs w:val="24"/>
        </w:rPr>
        <w:t xml:space="preserve">for a new </w:t>
      </w:r>
      <w:r w:rsidR="003211C0" w:rsidRPr="009B4467">
        <w:rPr>
          <w:rFonts w:cs="Arial"/>
          <w:szCs w:val="24"/>
        </w:rPr>
        <w:t xml:space="preserve">potential grantee </w:t>
      </w:r>
      <w:r w:rsidR="0036265D" w:rsidRPr="009B4467">
        <w:rPr>
          <w:rFonts w:cs="Arial"/>
          <w:szCs w:val="24"/>
        </w:rPr>
        <w:t xml:space="preserve">that has been selected, or if the current </w:t>
      </w:r>
      <w:r w:rsidR="00C8304A" w:rsidRPr="009B4467">
        <w:rPr>
          <w:rFonts w:cs="Arial"/>
          <w:szCs w:val="24"/>
        </w:rPr>
        <w:t>information</w:t>
      </w:r>
      <w:r w:rsidR="0036265D" w:rsidRPr="009B4467">
        <w:rPr>
          <w:rFonts w:cs="Arial"/>
          <w:szCs w:val="24"/>
        </w:rPr>
        <w:t xml:space="preserve"> on file needs </w:t>
      </w:r>
      <w:r w:rsidR="00C8304A" w:rsidRPr="009B4467">
        <w:rPr>
          <w:rFonts w:cs="Arial"/>
          <w:szCs w:val="24"/>
        </w:rPr>
        <w:t>to be updated</w:t>
      </w:r>
      <w:r w:rsidR="005441D4" w:rsidRPr="009B4467">
        <w:rPr>
          <w:rFonts w:cs="Arial"/>
          <w:szCs w:val="24"/>
        </w:rPr>
        <w:t>.</w:t>
      </w:r>
    </w:p>
    <w:p w14:paraId="3C5F0E62" w14:textId="7B2CE925" w:rsidR="0036265D" w:rsidRPr="009B4467" w:rsidRDefault="0036265D" w:rsidP="00F80319">
      <w:pPr>
        <w:numPr>
          <w:ilvl w:val="0"/>
          <w:numId w:val="3"/>
        </w:numPr>
        <w:spacing w:before="0" w:after="0" w:line="240" w:lineRule="auto"/>
        <w:contextualSpacing/>
        <w:rPr>
          <w:rFonts w:cs="Arial"/>
          <w:szCs w:val="24"/>
        </w:rPr>
      </w:pPr>
      <w:r w:rsidRPr="009B4467">
        <w:rPr>
          <w:rFonts w:cs="Arial"/>
          <w:b/>
          <w:szCs w:val="24"/>
        </w:rPr>
        <w:t>Approved Work Plan</w:t>
      </w:r>
      <w:r w:rsidRPr="009B4467">
        <w:rPr>
          <w:rFonts w:cs="Arial"/>
          <w:szCs w:val="24"/>
        </w:rPr>
        <w:t xml:space="preserve">: </w:t>
      </w:r>
      <w:r w:rsidR="00B060C6">
        <w:rPr>
          <w:rFonts w:cs="Arial"/>
          <w:szCs w:val="24"/>
        </w:rPr>
        <w:t xml:space="preserve">A </w:t>
      </w:r>
      <w:r w:rsidR="00B060C6" w:rsidRPr="009B4467">
        <w:rPr>
          <w:rFonts w:cs="Arial"/>
          <w:szCs w:val="24"/>
        </w:rPr>
        <w:t>Work</w:t>
      </w:r>
      <w:r w:rsidR="00724489">
        <w:rPr>
          <w:rFonts w:cs="Arial"/>
          <w:szCs w:val="24"/>
        </w:rPr>
        <w:t xml:space="preserve"> P</w:t>
      </w:r>
      <w:r w:rsidRPr="009B4467">
        <w:rPr>
          <w:rFonts w:cs="Arial"/>
          <w:szCs w:val="24"/>
        </w:rPr>
        <w:t>lan</w:t>
      </w:r>
      <w:r w:rsidR="00724489">
        <w:rPr>
          <w:rFonts w:cs="Arial"/>
          <w:szCs w:val="24"/>
        </w:rPr>
        <w:t xml:space="preserve"> on a template provided by Minnesota </w:t>
      </w:r>
      <w:r w:rsidR="00A01A08">
        <w:rPr>
          <w:rFonts w:cs="Arial"/>
          <w:szCs w:val="24"/>
        </w:rPr>
        <w:t>Housing, describing</w:t>
      </w:r>
      <w:r w:rsidRPr="009B4467">
        <w:rPr>
          <w:rFonts w:cs="Arial"/>
          <w:szCs w:val="24"/>
        </w:rPr>
        <w:t xml:space="preserve"> </w:t>
      </w:r>
      <w:r w:rsidR="005441D4" w:rsidRPr="009B4467">
        <w:rPr>
          <w:rFonts w:cs="Arial"/>
          <w:szCs w:val="24"/>
        </w:rPr>
        <w:t>changes since application submittal and</w:t>
      </w:r>
      <w:r w:rsidRPr="009B4467">
        <w:rPr>
          <w:rFonts w:cs="Arial"/>
          <w:szCs w:val="24"/>
        </w:rPr>
        <w:t xml:space="preserve"> </w:t>
      </w:r>
      <w:proofErr w:type="gramStart"/>
      <w:r w:rsidRPr="009B4467">
        <w:rPr>
          <w:rFonts w:cs="Arial"/>
          <w:szCs w:val="24"/>
        </w:rPr>
        <w:t>as a result of</w:t>
      </w:r>
      <w:proofErr w:type="gramEnd"/>
      <w:r w:rsidRPr="009B4467">
        <w:rPr>
          <w:rFonts w:cs="Arial"/>
          <w:szCs w:val="24"/>
        </w:rPr>
        <w:t xml:space="preserve"> the final award amount and requirements.</w:t>
      </w:r>
    </w:p>
    <w:p w14:paraId="25B7A6A3" w14:textId="520CC86F" w:rsidR="0036265D" w:rsidRPr="009B4467" w:rsidRDefault="0036265D" w:rsidP="00F80319">
      <w:pPr>
        <w:numPr>
          <w:ilvl w:val="0"/>
          <w:numId w:val="3"/>
        </w:numPr>
        <w:spacing w:before="0" w:after="0" w:line="240" w:lineRule="auto"/>
        <w:contextualSpacing/>
        <w:rPr>
          <w:rFonts w:cs="Arial"/>
          <w:szCs w:val="24"/>
        </w:rPr>
      </w:pPr>
      <w:r w:rsidRPr="009B4467">
        <w:rPr>
          <w:rFonts w:cs="Arial"/>
          <w:b/>
          <w:szCs w:val="24"/>
        </w:rPr>
        <w:lastRenderedPageBreak/>
        <w:t>Final, approved Budget</w:t>
      </w:r>
      <w:r w:rsidRPr="009B4467">
        <w:rPr>
          <w:rFonts w:cs="Arial"/>
          <w:szCs w:val="24"/>
        </w:rPr>
        <w:t>:</w:t>
      </w:r>
      <w:r w:rsidRPr="009B4467">
        <w:rPr>
          <w:rFonts w:cs="Arial"/>
          <w:b/>
          <w:szCs w:val="24"/>
        </w:rPr>
        <w:t xml:space="preserve"> </w:t>
      </w:r>
      <w:r w:rsidRPr="009B4467">
        <w:rPr>
          <w:rFonts w:cs="Arial"/>
          <w:szCs w:val="24"/>
        </w:rPr>
        <w:t>A final budget reflecting the awarded amount and any allocation or amount changes to Grantee.</w:t>
      </w:r>
    </w:p>
    <w:p w14:paraId="12E6849A" w14:textId="2FA9EF5B" w:rsidR="00816F45" w:rsidRPr="00630EFC" w:rsidRDefault="003211C0" w:rsidP="00816F45">
      <w:pPr>
        <w:rPr>
          <w:rFonts w:asciiTheme="minorHAnsi" w:hAnsiTheme="minorHAnsi" w:cs="Book Antiqua"/>
          <w:szCs w:val="24"/>
        </w:rPr>
      </w:pPr>
      <w:r>
        <w:rPr>
          <w:rFonts w:asciiTheme="minorHAnsi" w:hAnsiTheme="minorHAnsi" w:cs="Book Antiqua"/>
          <w:szCs w:val="24"/>
        </w:rPr>
        <w:t>Potential grantees that are</w:t>
      </w:r>
      <w:r w:rsidRPr="00845BB1">
        <w:rPr>
          <w:rFonts w:asciiTheme="minorHAnsi" w:hAnsiTheme="minorHAnsi" w:cs="Book Antiqua"/>
          <w:szCs w:val="24"/>
        </w:rPr>
        <w:t xml:space="preserve"> </w:t>
      </w:r>
      <w:r w:rsidR="0036265D" w:rsidRPr="00845BB1">
        <w:rPr>
          <w:rFonts w:asciiTheme="minorHAnsi" w:hAnsiTheme="minorHAnsi" w:cs="Book Antiqua"/>
          <w:szCs w:val="24"/>
        </w:rPr>
        <w:t>awarded funding must have all due diligence submitted and approved and the Grant Contract Agreement fully executed</w:t>
      </w:r>
      <w:r w:rsidR="004F3A73">
        <w:rPr>
          <w:rFonts w:asciiTheme="minorHAnsi" w:hAnsiTheme="minorHAnsi" w:cs="Book Antiqua"/>
          <w:szCs w:val="24"/>
        </w:rPr>
        <w:t>—</w:t>
      </w:r>
      <w:r w:rsidR="0036265D" w:rsidRPr="00845BB1">
        <w:rPr>
          <w:rFonts w:asciiTheme="minorHAnsi" w:hAnsiTheme="minorHAnsi" w:cs="Book Antiqua"/>
          <w:szCs w:val="24"/>
        </w:rPr>
        <w:t xml:space="preserve">which includes both the </w:t>
      </w:r>
      <w:r>
        <w:rPr>
          <w:rFonts w:asciiTheme="minorHAnsi" w:hAnsiTheme="minorHAnsi" w:cs="Book Antiqua"/>
          <w:szCs w:val="24"/>
        </w:rPr>
        <w:t>potential grantee</w:t>
      </w:r>
      <w:r w:rsidRPr="00845BB1">
        <w:rPr>
          <w:rFonts w:asciiTheme="minorHAnsi" w:hAnsiTheme="minorHAnsi" w:cs="Book Antiqua"/>
          <w:szCs w:val="24"/>
        </w:rPr>
        <w:t xml:space="preserve">’s </w:t>
      </w:r>
      <w:r w:rsidR="0036265D" w:rsidRPr="00845BB1">
        <w:rPr>
          <w:rFonts w:asciiTheme="minorHAnsi" w:hAnsiTheme="minorHAnsi" w:cs="Book Antiqua"/>
          <w:szCs w:val="24"/>
        </w:rPr>
        <w:t>and Minnesota Housing’s signatures</w:t>
      </w:r>
      <w:r w:rsidR="004F3A73">
        <w:rPr>
          <w:rFonts w:asciiTheme="minorHAnsi" w:hAnsiTheme="minorHAnsi" w:cs="Book Antiqua"/>
          <w:szCs w:val="24"/>
        </w:rPr>
        <w:t>—</w:t>
      </w:r>
      <w:r w:rsidR="0036265D" w:rsidRPr="00845BB1">
        <w:rPr>
          <w:rFonts w:asciiTheme="minorHAnsi" w:hAnsiTheme="minorHAnsi" w:cs="Book Antiqua"/>
          <w:szCs w:val="24"/>
        </w:rPr>
        <w:t xml:space="preserve">before costs can be incurred and </w:t>
      </w:r>
      <w:r w:rsidR="00724489" w:rsidRPr="00845BB1">
        <w:rPr>
          <w:rFonts w:asciiTheme="minorHAnsi" w:hAnsiTheme="minorHAnsi" w:cs="Book Antiqua"/>
          <w:szCs w:val="24"/>
        </w:rPr>
        <w:t>reimbursed,</w:t>
      </w:r>
      <w:r w:rsidR="0036265D" w:rsidRPr="00845BB1">
        <w:rPr>
          <w:rFonts w:asciiTheme="minorHAnsi" w:hAnsiTheme="minorHAnsi" w:cs="Book Antiqua"/>
          <w:szCs w:val="24"/>
        </w:rPr>
        <w:t xml:space="preserve"> or grant funds can be expended.</w:t>
      </w:r>
      <w:r w:rsidR="00CE0B95">
        <w:rPr>
          <w:rFonts w:asciiTheme="minorHAnsi" w:hAnsiTheme="minorHAnsi" w:cs="Book Antiqua"/>
          <w:szCs w:val="24"/>
        </w:rPr>
        <w:t xml:space="preserve"> </w:t>
      </w:r>
      <w:r w:rsidR="0036265D" w:rsidRPr="00845BB1">
        <w:rPr>
          <w:rFonts w:asciiTheme="minorHAnsi" w:hAnsiTheme="minorHAnsi" w:cs="Book Antiqua"/>
          <w:szCs w:val="24"/>
        </w:rPr>
        <w:t>Minnesota Housing will not reimburse costs incurred prior to the execution of the Grant Contract Agreement</w:t>
      </w:r>
      <w:r w:rsidR="00845BB1" w:rsidRPr="00845BB1">
        <w:rPr>
          <w:rFonts w:asciiTheme="minorHAnsi" w:hAnsiTheme="minorHAnsi" w:cs="Book Antiqua"/>
          <w:szCs w:val="24"/>
        </w:rPr>
        <w:t>.</w:t>
      </w:r>
      <w:r w:rsidR="00816F45">
        <w:rPr>
          <w:rFonts w:asciiTheme="minorHAnsi" w:hAnsiTheme="minorHAnsi" w:cs="Book Antiqua"/>
          <w:szCs w:val="24"/>
        </w:rPr>
        <w:t xml:space="preserve"> </w:t>
      </w:r>
      <w:r w:rsidR="00816F45" w:rsidRPr="00DD10DD">
        <w:t>Minnesota Housing will initiate the execution of the Grant Contract Agreement, including required signatures.</w:t>
      </w:r>
    </w:p>
    <w:p w14:paraId="5C4CD250" w14:textId="6A7742B9" w:rsidR="00B31F60" w:rsidRDefault="00D8567E" w:rsidP="00B50019">
      <w:pPr>
        <w:pStyle w:val="Heading2"/>
        <w:ind w:left="360" w:hanging="360"/>
      </w:pPr>
      <w:bookmarkStart w:id="52" w:name="_Toc145342102"/>
      <w:bookmarkStart w:id="53" w:name="_Toc162441884"/>
      <w:bookmarkStart w:id="54" w:name="_Toc188863874"/>
      <w:r>
        <w:t xml:space="preserve">L. </w:t>
      </w:r>
      <w:r w:rsidR="00B50019">
        <w:tab/>
      </w:r>
      <w:r w:rsidR="00B31F60">
        <w:t>Contractual Requirements</w:t>
      </w:r>
      <w:bookmarkEnd w:id="52"/>
      <w:bookmarkEnd w:id="53"/>
      <w:bookmarkEnd w:id="54"/>
    </w:p>
    <w:p w14:paraId="15CD58FB" w14:textId="153DF988" w:rsidR="0036265D" w:rsidRPr="00E570C1" w:rsidRDefault="00C13A75" w:rsidP="0036265D">
      <w:pPr>
        <w:widowControl w:val="0"/>
        <w:spacing w:after="0" w:line="240" w:lineRule="auto"/>
        <w:rPr>
          <w:rFonts w:cs="Calibri"/>
          <w:szCs w:val="24"/>
        </w:rPr>
      </w:pPr>
      <w:r>
        <w:rPr>
          <w:rFonts w:cs="Calibri"/>
          <w:szCs w:val="24"/>
        </w:rPr>
        <w:t>A potential grantee</w:t>
      </w:r>
      <w:r w:rsidR="0036265D" w:rsidRPr="00E570C1">
        <w:rPr>
          <w:rFonts w:cs="Calibri"/>
          <w:szCs w:val="24"/>
        </w:rPr>
        <w:t xml:space="preserve"> awarded funding under this proposal will be required to:</w:t>
      </w:r>
    </w:p>
    <w:p w14:paraId="4682C447" w14:textId="04F918D2" w:rsidR="00E43FD8" w:rsidRPr="00830395" w:rsidRDefault="0036265D" w:rsidP="00F80319">
      <w:pPr>
        <w:widowControl w:val="0"/>
        <w:numPr>
          <w:ilvl w:val="0"/>
          <w:numId w:val="5"/>
        </w:numPr>
        <w:spacing w:before="0" w:after="0" w:line="240" w:lineRule="auto"/>
        <w:contextualSpacing/>
        <w:rPr>
          <w:rFonts w:eastAsia="Calibri" w:cs="Calibri"/>
          <w:szCs w:val="24"/>
        </w:rPr>
      </w:pPr>
      <w:r w:rsidRPr="00585622">
        <w:rPr>
          <w:rFonts w:cs="Calibri"/>
          <w:szCs w:val="24"/>
        </w:rPr>
        <w:t>Compl</w:t>
      </w:r>
      <w:r w:rsidR="00E43FD8" w:rsidRPr="00585622">
        <w:rPr>
          <w:rFonts w:cs="Calibri"/>
          <w:szCs w:val="24"/>
        </w:rPr>
        <w:t xml:space="preserve">ete a </w:t>
      </w:r>
      <w:r w:rsidRPr="00585622">
        <w:rPr>
          <w:rFonts w:cs="Calibri"/>
          <w:szCs w:val="24"/>
        </w:rPr>
        <w:t xml:space="preserve">Grant Contract Agreement </w:t>
      </w:r>
      <w:r w:rsidR="00E43FD8" w:rsidRPr="00585622">
        <w:rPr>
          <w:rFonts w:cs="Calibri"/>
          <w:szCs w:val="24"/>
        </w:rPr>
        <w:t xml:space="preserve">with Minnesota Housing and comply with all requirements listed </w:t>
      </w:r>
      <w:r w:rsidR="00314675" w:rsidRPr="00585622">
        <w:rPr>
          <w:rFonts w:cs="Calibri"/>
          <w:szCs w:val="24"/>
        </w:rPr>
        <w:t>therein</w:t>
      </w:r>
      <w:r w:rsidR="00E43FD8" w:rsidRPr="00585622">
        <w:rPr>
          <w:rFonts w:cs="Calibri"/>
          <w:szCs w:val="24"/>
        </w:rPr>
        <w:t>.</w:t>
      </w:r>
    </w:p>
    <w:p w14:paraId="01DB6330" w14:textId="1557EDFE" w:rsidR="0036265D" w:rsidRPr="00830395" w:rsidRDefault="00E43FD8" w:rsidP="00F80319">
      <w:pPr>
        <w:widowControl w:val="0"/>
        <w:numPr>
          <w:ilvl w:val="0"/>
          <w:numId w:val="5"/>
        </w:numPr>
        <w:spacing w:before="0" w:after="0" w:line="240" w:lineRule="auto"/>
        <w:contextualSpacing/>
        <w:rPr>
          <w:rFonts w:eastAsia="Calibri" w:cs="Calibri"/>
          <w:szCs w:val="24"/>
        </w:rPr>
      </w:pPr>
      <w:r w:rsidRPr="00830395">
        <w:rPr>
          <w:rFonts w:cs="Calibri"/>
          <w:szCs w:val="24"/>
        </w:rPr>
        <w:t>Comply with</w:t>
      </w:r>
      <w:r w:rsidR="000D14F5" w:rsidRPr="00830395">
        <w:rPr>
          <w:rFonts w:cs="Calibri"/>
          <w:szCs w:val="24"/>
        </w:rPr>
        <w:t xml:space="preserve"> the </w:t>
      </w:r>
      <w:hyperlink r:id="rId25" w:history="1">
        <w:r w:rsidR="000D14F5" w:rsidRPr="00F24D05">
          <w:rPr>
            <w:rStyle w:val="Hyperlink"/>
            <w:rFonts w:cs="Calibri"/>
            <w:szCs w:val="24"/>
          </w:rPr>
          <w:t>H</w:t>
        </w:r>
        <w:r w:rsidR="00830395" w:rsidRPr="00F24D05">
          <w:rPr>
            <w:rStyle w:val="Hyperlink"/>
            <w:rFonts w:cs="Calibri"/>
            <w:szCs w:val="24"/>
          </w:rPr>
          <w:t xml:space="preserve">omeownership </w:t>
        </w:r>
        <w:r w:rsidR="000D14F5" w:rsidRPr="00F24D05">
          <w:rPr>
            <w:rStyle w:val="Hyperlink"/>
            <w:rFonts w:cs="Calibri"/>
            <w:szCs w:val="24"/>
          </w:rPr>
          <w:t>I</w:t>
        </w:r>
        <w:r w:rsidR="00830395" w:rsidRPr="00F24D05">
          <w:rPr>
            <w:rStyle w:val="Hyperlink"/>
            <w:rFonts w:cs="Calibri"/>
            <w:szCs w:val="24"/>
          </w:rPr>
          <w:t xml:space="preserve">nvestment </w:t>
        </w:r>
        <w:r w:rsidR="000D14F5" w:rsidRPr="00F24D05">
          <w:rPr>
            <w:rStyle w:val="Hyperlink"/>
            <w:rFonts w:cs="Calibri"/>
            <w:szCs w:val="24"/>
          </w:rPr>
          <w:t>G</w:t>
        </w:r>
        <w:r w:rsidR="00830395" w:rsidRPr="00F24D05">
          <w:rPr>
            <w:rStyle w:val="Hyperlink"/>
            <w:rFonts w:cs="Calibri"/>
            <w:szCs w:val="24"/>
          </w:rPr>
          <w:t>rants</w:t>
        </w:r>
        <w:r w:rsidR="0036265D" w:rsidRPr="00F24D05">
          <w:rPr>
            <w:rStyle w:val="Hyperlink"/>
            <w:rFonts w:cs="Calibri"/>
            <w:szCs w:val="24"/>
          </w:rPr>
          <w:t xml:space="preserve"> Program</w:t>
        </w:r>
        <w:r w:rsidR="001E4A5B" w:rsidRPr="00F24D05">
          <w:rPr>
            <w:rStyle w:val="Hyperlink"/>
            <w:rFonts w:cs="Calibri"/>
            <w:szCs w:val="24"/>
          </w:rPr>
          <w:t xml:space="preserve"> Guide</w:t>
        </w:r>
      </w:hyperlink>
      <w:r w:rsidR="0036265D" w:rsidRPr="00830395">
        <w:rPr>
          <w:rFonts w:cs="Calibri"/>
          <w:szCs w:val="24"/>
        </w:rPr>
        <w:t xml:space="preserve">. </w:t>
      </w:r>
    </w:p>
    <w:p w14:paraId="301ACBDD" w14:textId="6339E4D0" w:rsidR="0036265D" w:rsidRDefault="0036265D" w:rsidP="00F80319">
      <w:pPr>
        <w:widowControl w:val="0"/>
        <w:numPr>
          <w:ilvl w:val="0"/>
          <w:numId w:val="5"/>
        </w:numPr>
        <w:spacing w:before="0" w:after="0" w:line="240" w:lineRule="auto"/>
        <w:contextualSpacing/>
        <w:rPr>
          <w:rFonts w:cs="Calibri"/>
          <w:szCs w:val="24"/>
        </w:rPr>
      </w:pPr>
      <w:r w:rsidRPr="00585622">
        <w:rPr>
          <w:rFonts w:cs="Calibri"/>
          <w:szCs w:val="24"/>
        </w:rPr>
        <w:t>Maintain financial records</w:t>
      </w:r>
      <w:r w:rsidR="00E43FD8" w:rsidRPr="00585622">
        <w:rPr>
          <w:rFonts w:cs="Calibri"/>
          <w:szCs w:val="24"/>
        </w:rPr>
        <w:t xml:space="preserve"> </w:t>
      </w:r>
      <w:r w:rsidR="004F3A73">
        <w:rPr>
          <w:rFonts w:cs="Calibri"/>
          <w:szCs w:val="24"/>
        </w:rPr>
        <w:t>that document the use of all grant funds</w:t>
      </w:r>
      <w:r w:rsidR="004F3A73" w:rsidRPr="00585622">
        <w:rPr>
          <w:rFonts w:cs="Calibri"/>
          <w:szCs w:val="24"/>
        </w:rPr>
        <w:t xml:space="preserve"> </w:t>
      </w:r>
      <w:r w:rsidR="00E43FD8" w:rsidRPr="00585622">
        <w:rPr>
          <w:rFonts w:cs="Calibri"/>
          <w:szCs w:val="24"/>
        </w:rPr>
        <w:t>for a minimum of six years after the Grant</w:t>
      </w:r>
      <w:r w:rsidR="00E43FD8">
        <w:rPr>
          <w:rFonts w:cs="Calibri"/>
          <w:szCs w:val="24"/>
        </w:rPr>
        <w:t xml:space="preserve"> Contract Agreement has ended.</w:t>
      </w:r>
      <w:r w:rsidR="00CE0B95">
        <w:rPr>
          <w:rFonts w:cs="Calibri"/>
          <w:szCs w:val="24"/>
        </w:rPr>
        <w:t xml:space="preserve"> </w:t>
      </w:r>
      <w:r w:rsidR="00E43FD8">
        <w:rPr>
          <w:rFonts w:cs="Calibri"/>
          <w:szCs w:val="24"/>
        </w:rPr>
        <w:t>Minnesota Housing, at its sole discretion, may request to review the accounting and documentation of such records at site visits or at other times.</w:t>
      </w:r>
    </w:p>
    <w:p w14:paraId="19ACD097" w14:textId="02F36920" w:rsidR="00E43FD8" w:rsidRPr="009B4467" w:rsidRDefault="00E43FD8" w:rsidP="00F80319">
      <w:pPr>
        <w:widowControl w:val="0"/>
        <w:numPr>
          <w:ilvl w:val="0"/>
          <w:numId w:val="5"/>
        </w:numPr>
        <w:spacing w:before="0" w:after="0" w:line="240" w:lineRule="auto"/>
        <w:contextualSpacing/>
        <w:rPr>
          <w:rFonts w:cs="Book Antiqua"/>
          <w:szCs w:val="24"/>
        </w:rPr>
      </w:pPr>
      <w:r w:rsidRPr="009B4467">
        <w:rPr>
          <w:rFonts w:cs="Book Antiqua"/>
          <w:szCs w:val="24"/>
        </w:rPr>
        <w:t>Complete and submit all interim and final program reports in a template provided by Minnesota Housing</w:t>
      </w:r>
      <w:r w:rsidR="004F3A73">
        <w:rPr>
          <w:rFonts w:cs="Book Antiqua"/>
          <w:szCs w:val="24"/>
        </w:rPr>
        <w:t xml:space="preserve"> </w:t>
      </w:r>
      <w:r w:rsidR="004F3A73" w:rsidRPr="009B4467">
        <w:rPr>
          <w:rFonts w:cs="Book Antiqua"/>
          <w:szCs w:val="24"/>
        </w:rPr>
        <w:t>by required due dates</w:t>
      </w:r>
      <w:r w:rsidR="004F3A73">
        <w:rPr>
          <w:rFonts w:cs="Book Antiqua"/>
          <w:szCs w:val="24"/>
        </w:rPr>
        <w:t>.</w:t>
      </w:r>
    </w:p>
    <w:p w14:paraId="0F0BADB0" w14:textId="5326C91C" w:rsidR="0036265D" w:rsidRPr="009B4467" w:rsidRDefault="0036265D" w:rsidP="00F80319">
      <w:pPr>
        <w:widowControl w:val="0"/>
        <w:numPr>
          <w:ilvl w:val="0"/>
          <w:numId w:val="5"/>
        </w:numPr>
        <w:spacing w:before="0" w:after="0" w:line="240" w:lineRule="auto"/>
        <w:contextualSpacing/>
        <w:rPr>
          <w:rFonts w:cs="Calibri"/>
          <w:szCs w:val="24"/>
        </w:rPr>
      </w:pPr>
      <w:r w:rsidRPr="009B4467">
        <w:rPr>
          <w:rFonts w:cs="Calibri"/>
          <w:szCs w:val="24"/>
        </w:rPr>
        <w:t>Comply with all local, state and federal requirements.</w:t>
      </w:r>
    </w:p>
    <w:p w14:paraId="4E12E897" w14:textId="15DE707D" w:rsidR="0036265D" w:rsidRPr="009B4467" w:rsidRDefault="0036265D" w:rsidP="00F80319">
      <w:pPr>
        <w:widowControl w:val="0"/>
        <w:numPr>
          <w:ilvl w:val="0"/>
          <w:numId w:val="5"/>
        </w:numPr>
        <w:spacing w:before="0" w:after="0" w:line="240" w:lineRule="auto"/>
        <w:contextualSpacing/>
        <w:rPr>
          <w:rFonts w:cs="Calibri"/>
          <w:szCs w:val="24"/>
        </w:rPr>
      </w:pPr>
      <w:r w:rsidRPr="009B4467">
        <w:rPr>
          <w:rFonts w:cs="Calibri"/>
          <w:szCs w:val="24"/>
        </w:rPr>
        <w:t>Comply with monitoring and financial reconciliation audits including site visits</w:t>
      </w:r>
      <w:r w:rsidR="004F3A73">
        <w:rPr>
          <w:rFonts w:cs="Calibri"/>
          <w:szCs w:val="24"/>
        </w:rPr>
        <w:t xml:space="preserve"> and</w:t>
      </w:r>
      <w:r w:rsidRPr="009B4467">
        <w:rPr>
          <w:rFonts w:cs="Calibri"/>
          <w:szCs w:val="24"/>
        </w:rPr>
        <w:t xml:space="preserve"> providing</w:t>
      </w:r>
      <w:r w:rsidR="004F3A73">
        <w:rPr>
          <w:rFonts w:cs="Calibri"/>
          <w:szCs w:val="24"/>
        </w:rPr>
        <w:t>/</w:t>
      </w:r>
      <w:r w:rsidRPr="009B4467">
        <w:rPr>
          <w:rFonts w:cs="Calibri"/>
          <w:szCs w:val="24"/>
        </w:rPr>
        <w:t>participating in evaluation and reporting by Minnesota Housing.</w:t>
      </w:r>
    </w:p>
    <w:p w14:paraId="5068AF54" w14:textId="1D159348" w:rsidR="0036265D" w:rsidRPr="00E570C1" w:rsidRDefault="00E43FD8" w:rsidP="00F80319">
      <w:pPr>
        <w:widowControl w:val="0"/>
        <w:numPr>
          <w:ilvl w:val="0"/>
          <w:numId w:val="5"/>
        </w:numPr>
        <w:spacing w:before="0" w:after="0" w:line="240" w:lineRule="auto"/>
        <w:contextualSpacing/>
        <w:rPr>
          <w:rFonts w:cs="Calibri"/>
          <w:szCs w:val="24"/>
        </w:rPr>
      </w:pPr>
      <w:r>
        <w:rPr>
          <w:rFonts w:cs="Calibri"/>
          <w:szCs w:val="24"/>
        </w:rPr>
        <w:t>Have a</w:t>
      </w:r>
      <w:r w:rsidR="0036265D" w:rsidRPr="00E570C1">
        <w:rPr>
          <w:rFonts w:cs="Calibri"/>
          <w:szCs w:val="24"/>
        </w:rPr>
        <w:t xml:space="preserve"> </w:t>
      </w:r>
      <w:r w:rsidR="004F3A73">
        <w:rPr>
          <w:rFonts w:cs="Calibri"/>
          <w:szCs w:val="24"/>
        </w:rPr>
        <w:t>c</w:t>
      </w:r>
      <w:r w:rsidR="0036265D" w:rsidRPr="00E570C1">
        <w:rPr>
          <w:rFonts w:cs="Calibri"/>
          <w:szCs w:val="24"/>
        </w:rPr>
        <w:t>onflict</w:t>
      </w:r>
      <w:r w:rsidR="004F3A73">
        <w:rPr>
          <w:rFonts w:cs="Calibri"/>
          <w:szCs w:val="24"/>
        </w:rPr>
        <w:t>-</w:t>
      </w:r>
      <w:r w:rsidR="0036265D" w:rsidRPr="00E570C1">
        <w:rPr>
          <w:rFonts w:cs="Calibri"/>
          <w:szCs w:val="24"/>
        </w:rPr>
        <w:t>of</w:t>
      </w:r>
      <w:r w:rsidR="004F3A73">
        <w:rPr>
          <w:rFonts w:cs="Calibri"/>
          <w:szCs w:val="24"/>
        </w:rPr>
        <w:t>-i</w:t>
      </w:r>
      <w:r w:rsidR="0036265D" w:rsidRPr="00E570C1">
        <w:rPr>
          <w:rFonts w:cs="Calibri"/>
          <w:szCs w:val="24"/>
        </w:rPr>
        <w:t>nterest policy and take necessary steps to prevent individual and organizational conflicts of interests.</w:t>
      </w:r>
      <w:r w:rsidR="00CE0B95">
        <w:rPr>
          <w:rFonts w:cs="Calibri"/>
          <w:szCs w:val="24"/>
        </w:rPr>
        <w:t xml:space="preserve"> </w:t>
      </w:r>
      <w:r w:rsidR="0036265D" w:rsidRPr="00E570C1">
        <w:rPr>
          <w:rFonts w:cs="Calibri"/>
          <w:szCs w:val="24"/>
        </w:rPr>
        <w:t xml:space="preserve">All suspected, disclosed or discovered conflicts of interests must be </w:t>
      </w:r>
      <w:hyperlink r:id="rId26" w:history="1">
        <w:r w:rsidR="0036265D" w:rsidRPr="00E43FD8">
          <w:rPr>
            <w:rStyle w:val="Hyperlink"/>
            <w:rFonts w:cs="Calibri"/>
            <w:szCs w:val="24"/>
          </w:rPr>
          <w:t>reported to Minnesota Housing</w:t>
        </w:r>
      </w:hyperlink>
      <w:r w:rsidR="0036265D" w:rsidRPr="00E570C1">
        <w:rPr>
          <w:rFonts w:cs="Calibri"/>
          <w:szCs w:val="24"/>
        </w:rPr>
        <w:t xml:space="preserve"> in a timely manner.</w:t>
      </w:r>
    </w:p>
    <w:p w14:paraId="5B1B0F6B" w14:textId="2788DD91" w:rsidR="0036265D" w:rsidRPr="00E570C1" w:rsidRDefault="0036265D" w:rsidP="00F80319">
      <w:pPr>
        <w:widowControl w:val="0"/>
        <w:numPr>
          <w:ilvl w:val="0"/>
          <w:numId w:val="5"/>
        </w:numPr>
        <w:spacing w:before="0" w:after="0" w:line="240" w:lineRule="auto"/>
        <w:contextualSpacing/>
        <w:rPr>
          <w:rFonts w:cs="Calibri"/>
          <w:szCs w:val="24"/>
        </w:rPr>
      </w:pPr>
      <w:r w:rsidRPr="00E570C1">
        <w:rPr>
          <w:rFonts w:cs="Calibri"/>
          <w:szCs w:val="24"/>
        </w:rPr>
        <w:t xml:space="preserve">Comply with applicable contracting and bidding requirements noted in the </w:t>
      </w:r>
      <w:r w:rsidR="00E43FD8">
        <w:rPr>
          <w:rFonts w:cs="Calibri"/>
          <w:szCs w:val="24"/>
        </w:rPr>
        <w:t xml:space="preserve">Grant </w:t>
      </w:r>
      <w:r w:rsidRPr="00E570C1">
        <w:rPr>
          <w:rFonts w:cs="Calibri"/>
          <w:szCs w:val="24"/>
        </w:rPr>
        <w:t>Contract</w:t>
      </w:r>
      <w:r w:rsidR="00E43FD8">
        <w:rPr>
          <w:rFonts w:cs="Calibri"/>
          <w:szCs w:val="24"/>
        </w:rPr>
        <w:t xml:space="preserve"> Agreement</w:t>
      </w:r>
      <w:r w:rsidRPr="00E570C1">
        <w:rPr>
          <w:rFonts w:cs="Calibri"/>
          <w:szCs w:val="24"/>
        </w:rPr>
        <w:t>.</w:t>
      </w:r>
    </w:p>
    <w:p w14:paraId="382B56E9" w14:textId="4D307560" w:rsidR="0036265D" w:rsidRPr="00E570C1" w:rsidRDefault="0036265D" w:rsidP="00F80319">
      <w:pPr>
        <w:widowControl w:val="0"/>
        <w:numPr>
          <w:ilvl w:val="0"/>
          <w:numId w:val="5"/>
        </w:numPr>
        <w:spacing w:before="0" w:after="0" w:line="240" w:lineRule="auto"/>
        <w:contextualSpacing/>
        <w:rPr>
          <w:rFonts w:cs="Calibri"/>
          <w:szCs w:val="24"/>
        </w:rPr>
      </w:pPr>
      <w:r w:rsidRPr="00E570C1">
        <w:rPr>
          <w:rFonts w:cs="Calibri"/>
          <w:szCs w:val="24"/>
        </w:rPr>
        <w:t xml:space="preserve">Comply with all </w:t>
      </w:r>
      <w:r w:rsidR="00E43FD8">
        <w:rPr>
          <w:rFonts w:cs="Calibri"/>
          <w:szCs w:val="24"/>
        </w:rPr>
        <w:t>a</w:t>
      </w:r>
      <w:r w:rsidRPr="00E570C1">
        <w:rPr>
          <w:rFonts w:cs="Calibri"/>
          <w:szCs w:val="24"/>
        </w:rPr>
        <w:t xml:space="preserve">ffirmative </w:t>
      </w:r>
      <w:r w:rsidR="00E43FD8">
        <w:rPr>
          <w:rFonts w:cs="Calibri"/>
          <w:szCs w:val="24"/>
        </w:rPr>
        <w:t>a</w:t>
      </w:r>
      <w:r w:rsidRPr="00E570C1">
        <w:rPr>
          <w:rFonts w:cs="Calibri"/>
          <w:szCs w:val="24"/>
        </w:rPr>
        <w:t xml:space="preserve">ction and non-discrimination requirements noted in the </w:t>
      </w:r>
      <w:r w:rsidR="00E43FD8">
        <w:rPr>
          <w:rFonts w:cs="Calibri"/>
          <w:szCs w:val="24"/>
        </w:rPr>
        <w:t xml:space="preserve">Grant </w:t>
      </w:r>
      <w:r w:rsidRPr="00E570C1">
        <w:rPr>
          <w:rFonts w:cs="Calibri"/>
          <w:szCs w:val="24"/>
        </w:rPr>
        <w:t>Contract</w:t>
      </w:r>
      <w:r w:rsidR="00E43FD8">
        <w:rPr>
          <w:rFonts w:cs="Calibri"/>
          <w:szCs w:val="24"/>
        </w:rPr>
        <w:t xml:space="preserve"> Agreement</w:t>
      </w:r>
      <w:r w:rsidRPr="00E570C1">
        <w:rPr>
          <w:rFonts w:cs="Calibri"/>
          <w:szCs w:val="24"/>
        </w:rPr>
        <w:t>.</w:t>
      </w:r>
    </w:p>
    <w:p w14:paraId="71B1F6B8" w14:textId="6467FB89" w:rsidR="0036265D" w:rsidRPr="00E570C1" w:rsidRDefault="0036265D" w:rsidP="00F80319">
      <w:pPr>
        <w:pStyle w:val="Default"/>
        <w:numPr>
          <w:ilvl w:val="0"/>
          <w:numId w:val="5"/>
        </w:numPr>
        <w:rPr>
          <w:rFonts w:asciiTheme="minorHAnsi" w:hAnsiTheme="minorHAnsi"/>
        </w:rPr>
      </w:pPr>
      <w:r w:rsidRPr="00E570C1">
        <w:rPr>
          <w:rFonts w:asciiTheme="minorHAnsi" w:hAnsiTheme="minorHAnsi"/>
        </w:rPr>
        <w:t xml:space="preserve">Comply with </w:t>
      </w:r>
      <w:hyperlink r:id="rId27" w:history="1">
        <w:r w:rsidR="00E43FD8" w:rsidRPr="00E43FD8">
          <w:rPr>
            <w:rStyle w:val="Hyperlink"/>
            <w:rFonts w:asciiTheme="minorHAnsi" w:hAnsiTheme="minorHAnsi" w:cstheme="minorHAnsi"/>
          </w:rPr>
          <w:t>Minn. Stat. §201.162</w:t>
        </w:r>
      </w:hyperlink>
      <w:r w:rsidR="00E43FD8">
        <w:rPr>
          <w:rStyle w:val="Hyperlink"/>
        </w:rPr>
        <w:t xml:space="preserve"> </w:t>
      </w:r>
      <w:r w:rsidRPr="00E570C1">
        <w:rPr>
          <w:rFonts w:asciiTheme="minorHAnsi" w:hAnsiTheme="minorHAnsi"/>
        </w:rPr>
        <w:t>by providing voter registration services for employees and for the public served by the grantee.</w:t>
      </w:r>
    </w:p>
    <w:p w14:paraId="7701D80E" w14:textId="58073994" w:rsidR="0036265D" w:rsidRDefault="00671966" w:rsidP="00B50019">
      <w:pPr>
        <w:widowControl w:val="0"/>
        <w:spacing w:before="0" w:after="0" w:line="240" w:lineRule="auto"/>
        <w:ind w:left="720"/>
        <w:contextualSpacing/>
        <w:rPr>
          <w:rFonts w:cs="Book Antiqua"/>
          <w:szCs w:val="24"/>
        </w:rPr>
      </w:pPr>
      <w:r w:rsidRPr="009B4467">
        <w:rPr>
          <w:rFonts w:cs="Book Antiqua"/>
          <w:b/>
          <w:bCs/>
          <w:szCs w:val="24"/>
        </w:rPr>
        <w:t>NOTE:</w:t>
      </w:r>
      <w:r w:rsidRPr="009B4467">
        <w:rPr>
          <w:rFonts w:cs="Book Antiqua"/>
          <w:szCs w:val="24"/>
        </w:rPr>
        <w:t xml:space="preserve"> This is not an exhaustive list.</w:t>
      </w:r>
      <w:r w:rsidR="00CE0B95">
        <w:rPr>
          <w:rFonts w:cs="Book Antiqua"/>
          <w:szCs w:val="24"/>
        </w:rPr>
        <w:t xml:space="preserve"> </w:t>
      </w:r>
      <w:r w:rsidRPr="009B4467">
        <w:rPr>
          <w:rFonts w:cs="Book Antiqua"/>
          <w:szCs w:val="24"/>
        </w:rPr>
        <w:t xml:space="preserve">All </w:t>
      </w:r>
      <w:r w:rsidR="004F3A73">
        <w:rPr>
          <w:rFonts w:cs="Book Antiqua"/>
          <w:szCs w:val="24"/>
        </w:rPr>
        <w:t>c</w:t>
      </w:r>
      <w:r w:rsidRPr="009B4467">
        <w:rPr>
          <w:rFonts w:cs="Book Antiqua"/>
          <w:szCs w:val="24"/>
        </w:rPr>
        <w:t xml:space="preserve">ontractual </w:t>
      </w:r>
      <w:r w:rsidR="004F3A73">
        <w:rPr>
          <w:rFonts w:cs="Book Antiqua"/>
          <w:szCs w:val="24"/>
        </w:rPr>
        <w:t>o</w:t>
      </w:r>
      <w:r w:rsidRPr="009B4467">
        <w:rPr>
          <w:rFonts w:cs="Book Antiqua"/>
          <w:szCs w:val="24"/>
        </w:rPr>
        <w:t xml:space="preserve">bligations will be outlined in the Grant Contract Agreement, sent to selected </w:t>
      </w:r>
      <w:r w:rsidR="00CC7168" w:rsidRPr="009B4467">
        <w:rPr>
          <w:rFonts w:cs="Book Antiqua"/>
          <w:szCs w:val="24"/>
        </w:rPr>
        <w:t>potential grantees</w:t>
      </w:r>
      <w:r w:rsidRPr="009B4467">
        <w:rPr>
          <w:rFonts w:cs="Book Antiqua"/>
          <w:szCs w:val="24"/>
        </w:rPr>
        <w:t>.</w:t>
      </w:r>
    </w:p>
    <w:p w14:paraId="77253083" w14:textId="77777777" w:rsidR="005B28C2" w:rsidRDefault="005B28C2" w:rsidP="00B50019">
      <w:pPr>
        <w:widowControl w:val="0"/>
        <w:spacing w:before="0" w:after="0" w:line="240" w:lineRule="auto"/>
        <w:ind w:left="720"/>
        <w:contextualSpacing/>
        <w:rPr>
          <w:rFonts w:cs="Book Antiqua"/>
          <w:szCs w:val="24"/>
        </w:rPr>
      </w:pPr>
    </w:p>
    <w:p w14:paraId="200E1AB4" w14:textId="3F0BE611" w:rsidR="005B28C2" w:rsidRPr="00B24C18" w:rsidRDefault="005B28C2" w:rsidP="005B28C2">
      <w:pPr>
        <w:pStyle w:val="Heading3"/>
        <w:rPr>
          <w:rStyle w:val="ui-provider"/>
          <w:rFonts w:cs="Times New Roman"/>
          <w:b w:val="0"/>
          <w:bCs/>
          <w:iCs/>
          <w:color w:val="auto"/>
          <w:szCs w:val="22"/>
        </w:rPr>
      </w:pPr>
      <w:bookmarkStart w:id="55" w:name="_Toc188863875"/>
      <w:r>
        <w:lastRenderedPageBreak/>
        <w:t>L.1</w:t>
      </w:r>
      <w:r w:rsidRPr="00B24C18">
        <w:t xml:space="preserve"> Reporting </w:t>
      </w:r>
      <w:r>
        <w:t>R</w:t>
      </w:r>
      <w:r w:rsidRPr="00B24C18">
        <w:t>equirements</w:t>
      </w:r>
      <w:bookmarkEnd w:id="55"/>
    </w:p>
    <w:p w14:paraId="582322C3" w14:textId="15C685E5" w:rsidR="005B28C2" w:rsidRPr="001D114A" w:rsidRDefault="005B28C2" w:rsidP="005B28C2">
      <w:pPr>
        <w:pStyle w:val="Caption"/>
        <w:rPr>
          <w:b w:val="0"/>
          <w:bCs w:val="0"/>
          <w:iCs w:val="0"/>
          <w:color w:val="auto"/>
          <w:sz w:val="24"/>
          <w:szCs w:val="22"/>
        </w:rPr>
      </w:pPr>
      <w:r w:rsidRPr="001D114A">
        <w:rPr>
          <w:b w:val="0"/>
          <w:bCs w:val="0"/>
          <w:iCs w:val="0"/>
          <w:color w:val="auto"/>
          <w:sz w:val="24"/>
          <w:szCs w:val="22"/>
        </w:rPr>
        <w:t xml:space="preserve">Administrators are required to submit all required reporting and related documentation to Minnesota Housing as specified </w:t>
      </w:r>
      <w:r w:rsidR="00520F08">
        <w:rPr>
          <w:b w:val="0"/>
          <w:bCs w:val="0"/>
          <w:iCs w:val="0"/>
          <w:color w:val="auto"/>
          <w:sz w:val="24"/>
          <w:szCs w:val="22"/>
        </w:rPr>
        <w:t>by</w:t>
      </w:r>
      <w:r w:rsidRPr="001D114A">
        <w:rPr>
          <w:b w:val="0"/>
          <w:bCs w:val="0"/>
          <w:iCs w:val="0"/>
          <w:color w:val="auto"/>
          <w:sz w:val="24"/>
          <w:szCs w:val="22"/>
        </w:rPr>
        <w:t xml:space="preserve"> their Grant Contract Agreement. Reporting requirements in the Grant Contract Agreement may include, but are not limited to, the following:</w:t>
      </w:r>
    </w:p>
    <w:p w14:paraId="56F97598" w14:textId="77777777" w:rsidR="005B28C2" w:rsidRPr="00D67CAB" w:rsidRDefault="005B28C2" w:rsidP="005B28C2">
      <w:pPr>
        <w:pStyle w:val="ListParagraph"/>
        <w:numPr>
          <w:ilvl w:val="0"/>
          <w:numId w:val="26"/>
        </w:numPr>
        <w:spacing w:before="100" w:after="100"/>
      </w:pPr>
      <w:r w:rsidRPr="00D67CAB">
        <w:t>Household demographic and project information;</w:t>
      </w:r>
    </w:p>
    <w:p w14:paraId="3B21317E" w14:textId="1291A229" w:rsidR="005B28C2" w:rsidRPr="00D67CAB" w:rsidRDefault="005B28C2" w:rsidP="005B28C2">
      <w:pPr>
        <w:pStyle w:val="ListParagraph"/>
        <w:numPr>
          <w:ilvl w:val="0"/>
          <w:numId w:val="26"/>
        </w:numPr>
        <w:spacing w:before="100" w:after="100"/>
      </w:pPr>
      <w:r w:rsidRPr="00D67CAB">
        <w:t>Periodic reports (i.e. monthly, quarterly, annual reports</w:t>
      </w:r>
      <w:proofErr w:type="gramStart"/>
      <w:r w:rsidRPr="00D67CAB">
        <w:t>);</w:t>
      </w:r>
      <w:proofErr w:type="gramEnd"/>
    </w:p>
    <w:p w14:paraId="0374907C" w14:textId="77777777" w:rsidR="005B28C2" w:rsidRPr="00D67CAB" w:rsidRDefault="005B28C2" w:rsidP="005B28C2">
      <w:pPr>
        <w:pStyle w:val="ListParagraph"/>
        <w:numPr>
          <w:ilvl w:val="0"/>
          <w:numId w:val="26"/>
        </w:numPr>
        <w:spacing w:before="100" w:after="100"/>
      </w:pPr>
      <w:r w:rsidRPr="00D67CAB">
        <w:t>Close</w:t>
      </w:r>
      <w:r>
        <w:t>-</w:t>
      </w:r>
      <w:r w:rsidRPr="00D67CAB">
        <w:t>out reports; and</w:t>
      </w:r>
    </w:p>
    <w:p w14:paraId="29D79321" w14:textId="02208AC2" w:rsidR="005B28C2" w:rsidRPr="00B50019" w:rsidRDefault="005B28C2" w:rsidP="005B28C2">
      <w:pPr>
        <w:pStyle w:val="ListParagraph"/>
        <w:numPr>
          <w:ilvl w:val="0"/>
          <w:numId w:val="26"/>
        </w:numPr>
        <w:spacing w:before="100" w:after="100"/>
      </w:pPr>
      <w:r w:rsidRPr="00D67CAB">
        <w:t xml:space="preserve">Any reports, files or documents required as part of Minnesota Housing’s monitoring for compliance with the Grant Contract Agreement, applicable </w:t>
      </w:r>
      <w:proofErr w:type="gramStart"/>
      <w:r w:rsidRPr="00D67CAB">
        <w:t>laws</w:t>
      </w:r>
      <w:proofErr w:type="gramEnd"/>
      <w:r w:rsidRPr="00D67CAB">
        <w:t xml:space="preserve"> and State policies.</w:t>
      </w:r>
    </w:p>
    <w:p w14:paraId="4E3427AA" w14:textId="274E0D01" w:rsidR="005B28C2" w:rsidRDefault="005B28C2" w:rsidP="005B28C2">
      <w:pPr>
        <w:pStyle w:val="Heading3"/>
      </w:pPr>
      <w:bookmarkStart w:id="56" w:name="_Toc188863876"/>
      <w:r>
        <w:t>L.2 Funds Disbursement</w:t>
      </w:r>
      <w:bookmarkEnd w:id="56"/>
    </w:p>
    <w:p w14:paraId="41E273F5" w14:textId="4685E03C" w:rsidR="005B28C2" w:rsidRDefault="005B28C2" w:rsidP="005B28C2">
      <w:r>
        <w:t xml:space="preserve">Grant disbursements will follow the terms outlined in each Administrator’s Grant Contract Agreement. Funds will not be disbursed or used for expenses incurred before the contract effective date. All conditions for fund disbursement, including the submission of required documentation, will be specified in the Grant Contract </w:t>
      </w:r>
      <w:proofErr w:type="gramStart"/>
      <w:r>
        <w:t>Agreement</w:t>
      </w:r>
      <w:proofErr w:type="gramEnd"/>
      <w:r>
        <w:t xml:space="preserve"> and must be fulfilled before funds can be disbursed.</w:t>
      </w:r>
    </w:p>
    <w:p w14:paraId="2787579F" w14:textId="2882E7F5" w:rsidR="005B28C2" w:rsidRPr="00B24C18" w:rsidRDefault="005B28C2" w:rsidP="005B28C2">
      <w:pPr>
        <w:pStyle w:val="Heading3"/>
        <w:rPr>
          <w:rStyle w:val="ui-provider"/>
          <w:rFonts w:cs="Times New Roman"/>
          <w:b w:val="0"/>
          <w:bCs/>
          <w:iCs/>
          <w:color w:val="auto"/>
          <w:szCs w:val="22"/>
        </w:rPr>
      </w:pPr>
      <w:bookmarkStart w:id="57" w:name="_Toc188863877"/>
      <w:r>
        <w:rPr>
          <w:rStyle w:val="ui-provider"/>
        </w:rPr>
        <w:t xml:space="preserve">L.3 </w:t>
      </w:r>
      <w:r w:rsidRPr="00B24C18">
        <w:rPr>
          <w:rStyle w:val="ui-provider"/>
        </w:rPr>
        <w:t>Monitoring and Audits</w:t>
      </w:r>
      <w:bookmarkEnd w:id="57"/>
    </w:p>
    <w:p w14:paraId="0E392B88" w14:textId="77777777" w:rsidR="005B28C2" w:rsidRDefault="005B28C2" w:rsidP="005B28C2">
      <w:r>
        <w:rPr>
          <w:rStyle w:val="ui-provider"/>
          <w:rFonts w:eastAsiaTheme="majorEastAsia"/>
        </w:rPr>
        <w:t>W</w:t>
      </w:r>
      <w:r>
        <w:t>ith reasonable notice to the Administrator and, where applicable, to the household, Minnesota Housing reserves the right to make site visits, review Administrator’s records and project files, and conduct quality control audits. Records and project files subject to review will be specified in the Grant Contract Agreement. Monitoring and quality control audits are generally conducted to determine:</w:t>
      </w:r>
    </w:p>
    <w:p w14:paraId="4247BFCC" w14:textId="77777777" w:rsidR="005B28C2" w:rsidRDefault="005B28C2" w:rsidP="005B28C2">
      <w:pPr>
        <w:pStyle w:val="ListParagraph"/>
        <w:numPr>
          <w:ilvl w:val="0"/>
          <w:numId w:val="26"/>
        </w:numPr>
        <w:spacing w:before="100" w:after="100"/>
      </w:pPr>
      <w:r>
        <w:t>Minnesota Housing program/policy compliance; and</w:t>
      </w:r>
    </w:p>
    <w:p w14:paraId="5595C236" w14:textId="77777777" w:rsidR="005B28C2" w:rsidRPr="00B50019" w:rsidRDefault="005B28C2" w:rsidP="005B28C2">
      <w:pPr>
        <w:pStyle w:val="ListParagraph"/>
        <w:numPr>
          <w:ilvl w:val="0"/>
          <w:numId w:val="26"/>
        </w:numPr>
        <w:spacing w:before="100" w:after="100"/>
      </w:pPr>
      <w:r>
        <w:t>Fraud or misrepresentation on the part of any party involved in a transaction.</w:t>
      </w:r>
    </w:p>
    <w:p w14:paraId="61F90688" w14:textId="18F83145" w:rsidR="006900BD" w:rsidRDefault="006900BD" w:rsidP="00D8567E">
      <w:pPr>
        <w:pStyle w:val="Heading2"/>
      </w:pPr>
      <w:bookmarkStart w:id="58" w:name="_Toc162441885"/>
      <w:bookmarkStart w:id="59" w:name="_Toc188863878"/>
      <w:r>
        <w:t>Questions</w:t>
      </w:r>
      <w:bookmarkEnd w:id="58"/>
      <w:bookmarkEnd w:id="59"/>
    </w:p>
    <w:p w14:paraId="20F60246" w14:textId="6FA1B226" w:rsidR="00D9453C" w:rsidRDefault="0036265D" w:rsidP="0036265D">
      <w:pPr>
        <w:spacing w:after="0" w:line="240" w:lineRule="auto"/>
        <w:rPr>
          <w:rFonts w:cs="Book Antiqua"/>
          <w:szCs w:val="24"/>
        </w:rPr>
      </w:pPr>
      <w:r w:rsidRPr="00E570C1">
        <w:rPr>
          <w:rFonts w:cs="Book Antiqua"/>
          <w:szCs w:val="24"/>
        </w:rPr>
        <w:t xml:space="preserve">Questions can be directed to the designated contact for this </w:t>
      </w:r>
      <w:r w:rsidR="00845BB1">
        <w:rPr>
          <w:rFonts w:cs="Book Antiqua"/>
          <w:szCs w:val="24"/>
        </w:rPr>
        <w:t>RFP:</w:t>
      </w:r>
    </w:p>
    <w:p w14:paraId="72C2EEC2" w14:textId="2C8F5BC5" w:rsidR="00C177A0" w:rsidRPr="00630EFC" w:rsidRDefault="00C177A0" w:rsidP="00C177A0">
      <w:pPr>
        <w:pStyle w:val="ListParagraph"/>
        <w:numPr>
          <w:ilvl w:val="0"/>
          <w:numId w:val="0"/>
        </w:numPr>
        <w:spacing w:after="0" w:line="240" w:lineRule="auto"/>
        <w:ind w:left="780"/>
        <w:rPr>
          <w:rFonts w:cs="Book Antiqua"/>
          <w:szCs w:val="24"/>
        </w:rPr>
      </w:pPr>
      <w:r w:rsidRPr="00630EFC">
        <w:rPr>
          <w:rFonts w:cs="Book Antiqua"/>
          <w:szCs w:val="24"/>
        </w:rPr>
        <w:t>Laurie Zabel</w:t>
      </w:r>
    </w:p>
    <w:p w14:paraId="291B55FE" w14:textId="66F80492" w:rsidR="00C177A0" w:rsidRPr="00630EFC" w:rsidRDefault="00C177A0" w:rsidP="00C177A0">
      <w:pPr>
        <w:pStyle w:val="ListParagraph"/>
        <w:numPr>
          <w:ilvl w:val="0"/>
          <w:numId w:val="0"/>
        </w:numPr>
        <w:spacing w:after="0" w:line="240" w:lineRule="auto"/>
        <w:ind w:left="780"/>
        <w:rPr>
          <w:rFonts w:cs="Book Antiqua"/>
          <w:szCs w:val="24"/>
        </w:rPr>
      </w:pPr>
      <w:r w:rsidRPr="00630EFC">
        <w:rPr>
          <w:rFonts w:cs="Book Antiqua"/>
          <w:szCs w:val="24"/>
        </w:rPr>
        <w:t>651-227-2003</w:t>
      </w:r>
    </w:p>
    <w:p w14:paraId="7CEDC988" w14:textId="561D6399" w:rsidR="002C428A" w:rsidRPr="00630EFC" w:rsidRDefault="00687162" w:rsidP="00905E8F">
      <w:pPr>
        <w:pStyle w:val="ListParagraph"/>
        <w:numPr>
          <w:ilvl w:val="0"/>
          <w:numId w:val="0"/>
        </w:numPr>
        <w:spacing w:after="0" w:line="240" w:lineRule="auto"/>
        <w:ind w:left="780"/>
        <w:rPr>
          <w:rFonts w:cs="Book Antiqua"/>
          <w:szCs w:val="24"/>
        </w:rPr>
      </w:pPr>
      <w:hyperlink r:id="rId28" w:history="1">
        <w:r w:rsidR="00630EFC" w:rsidRPr="00687162">
          <w:rPr>
            <w:rStyle w:val="Hyperlink"/>
            <w:rFonts w:cs="Book Antiqua"/>
            <w:szCs w:val="24"/>
          </w:rPr>
          <w:t>hig.mhfa@state.mn.us</w:t>
        </w:r>
      </w:hyperlink>
    </w:p>
    <w:p w14:paraId="645E4572" w14:textId="12AECE9C" w:rsidR="0036265D" w:rsidRPr="00687162" w:rsidRDefault="0036265D" w:rsidP="002C428A">
      <w:pPr>
        <w:spacing w:after="0" w:line="240" w:lineRule="auto"/>
        <w:rPr>
          <w:rStyle w:val="Hyperlink"/>
        </w:rPr>
      </w:pPr>
      <w:r w:rsidRPr="002C428A">
        <w:rPr>
          <w:noProof/>
          <w:szCs w:val="24"/>
        </w:rPr>
        <w:t>No other staff are authorized to respond to questions from potential a</w:t>
      </w:r>
      <w:r w:rsidR="0058342A">
        <w:rPr>
          <w:noProof/>
          <w:szCs w:val="24"/>
        </w:rPr>
        <w:t>p</w:t>
      </w:r>
      <w:r w:rsidRPr="002C428A">
        <w:rPr>
          <w:noProof/>
          <w:szCs w:val="24"/>
        </w:rPr>
        <w:t>plicants</w:t>
      </w:r>
      <w:r w:rsidR="00C32E65">
        <w:rPr>
          <w:noProof/>
          <w:szCs w:val="24"/>
        </w:rPr>
        <w:t xml:space="preserve"> </w:t>
      </w:r>
      <w:r w:rsidR="00CC7168">
        <w:rPr>
          <w:noProof/>
          <w:szCs w:val="24"/>
        </w:rPr>
        <w:t>related to this RFP</w:t>
      </w:r>
      <w:r w:rsidRPr="002C428A">
        <w:rPr>
          <w:noProof/>
          <w:szCs w:val="24"/>
        </w:rPr>
        <w:t xml:space="preserve">. All questions and answers will be posted to </w:t>
      </w:r>
      <w:hyperlink r:id="rId29" w:history="1">
        <w:r w:rsidRPr="00687162">
          <w:rPr>
            <w:rStyle w:val="Hyperlink"/>
            <w:rFonts w:cs="Book Antiqua"/>
            <w:szCs w:val="24"/>
          </w:rPr>
          <w:t>Minnesota Housing’s website</w:t>
        </w:r>
      </w:hyperlink>
      <w:r w:rsidR="00C53B84" w:rsidRPr="00687162">
        <w:rPr>
          <w:rStyle w:val="Hyperlink"/>
          <w:rFonts w:cs="Book Antiqua"/>
        </w:rPr>
        <w:t>.</w:t>
      </w:r>
    </w:p>
    <w:sectPr w:rsidR="0036265D" w:rsidRPr="00687162" w:rsidSect="007911FF">
      <w:footerReference w:type="default" r:id="rId30"/>
      <w:headerReference w:type="first" r:id="rId31"/>
      <w:footerReference w:type="first" r:id="rId3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773AF" w14:textId="77777777" w:rsidR="00446EAC" w:rsidRDefault="00446EAC" w:rsidP="00D247F6">
      <w:r>
        <w:separator/>
      </w:r>
    </w:p>
  </w:endnote>
  <w:endnote w:type="continuationSeparator" w:id="0">
    <w:p w14:paraId="3161F9E5" w14:textId="77777777" w:rsidR="00446EAC" w:rsidRDefault="00446EAC" w:rsidP="00D24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altName w:val="Times New Roman"/>
    <w:panose1 w:val="00000000000000000000"/>
    <w:charset w:val="00"/>
    <w:family w:val="roman"/>
    <w:notTrueType/>
    <w:pitch w:val="variable"/>
    <w:sig w:usb0="00000007" w:usb1="00000001" w:usb2="00000000" w:usb3="00000000" w:csb0="00000093" w:csb1="00000000"/>
  </w:font>
  <w:font w:name="Tahoma">
    <w:altName w:val="Verdan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99385" w14:textId="77777777" w:rsidR="002F65C7" w:rsidRPr="00324E7E" w:rsidRDefault="002F65C7" w:rsidP="00324E7E">
    <w:pPr>
      <w:pStyle w:val="Footer"/>
      <w:jc w:val="right"/>
    </w:pPr>
    <w:r>
      <w:t>Report Title</w:t>
    </w:r>
    <w:r w:rsidRPr="00AF5107">
      <w:tab/>
    </w:r>
    <w:r w:rsidRPr="00AF5107">
      <w:fldChar w:fldCharType="begin"/>
    </w:r>
    <w:r w:rsidRPr="00AF5107">
      <w:instrText xml:space="preserve"> PAGE   \* MERGEFORMAT </w:instrText>
    </w:r>
    <w:r w:rsidRPr="00AF5107">
      <w:fldChar w:fldCharType="separate"/>
    </w:r>
    <w:r>
      <w:rPr>
        <w:noProof/>
      </w:rPr>
      <w:t>4</w:t>
    </w:r>
    <w:r w:rsidRPr="00AF510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AE758" w14:textId="77777777" w:rsidR="002F65C7" w:rsidRDefault="002F65C7" w:rsidP="00BA23A4">
    <w:pPr>
      <w:pStyle w:val="Footer"/>
      <w:tabs>
        <w:tab w:val="right" w:pos="999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460E4" w14:textId="77777777" w:rsidR="00324E7E" w:rsidRPr="00324E7E" w:rsidRDefault="00324E7E" w:rsidP="00324E7E">
    <w:pPr>
      <w:pStyle w:val="Footer"/>
      <w:jc w:val="right"/>
    </w:pPr>
    <w:r w:rsidRPr="00AF5107">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FFE15" w14:textId="766EA546" w:rsidR="00BA23A4" w:rsidRPr="00AF3185" w:rsidRDefault="00B230DA" w:rsidP="00B230DA">
    <w:pPr>
      <w:pStyle w:val="Footer"/>
    </w:pPr>
    <w:r w:rsidRPr="005B7092">
      <w:rPr>
        <w:color w:val="C00000"/>
        <w:sz w:val="16"/>
        <w:szCs w:val="16"/>
      </w:rPr>
      <w:t>Program Name</w:t>
    </w:r>
    <w:r w:rsidRPr="00226A01">
      <w:rPr>
        <w:sz w:val="16"/>
        <w:szCs w:val="16"/>
      </w:rPr>
      <w:t xml:space="preserve"> </w:t>
    </w:r>
    <w:r>
      <w:rPr>
        <w:sz w:val="16"/>
        <w:szCs w:val="16"/>
      </w:rPr>
      <w:tab/>
    </w:r>
    <w:r w:rsidRPr="00226A01">
      <w:rPr>
        <w:sz w:val="16"/>
        <w:szCs w:val="16"/>
      </w:rPr>
      <w:t xml:space="preserve">Page </w:t>
    </w:r>
    <w:r w:rsidR="006D4C04">
      <w:rPr>
        <w:sz w:val="16"/>
        <w:szCs w:val="16"/>
      </w:rPr>
      <w:t>2</w:t>
    </w:r>
    <w:r w:rsidRPr="00226A01">
      <w:rPr>
        <w:sz w:val="16"/>
        <w:szCs w:val="16"/>
      </w:rPr>
      <w:t xml:space="preserve"> of </w:t>
    </w:r>
    <w:r w:rsidR="006D4C04">
      <w:rPr>
        <w:bCs/>
        <w:sz w:val="16"/>
        <w:szCs w:val="16"/>
      </w:rPr>
      <w:t>10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F2887" w14:textId="3728DCFD" w:rsidR="00B51697" w:rsidRPr="00687162" w:rsidRDefault="00687162" w:rsidP="00551514">
    <w:pPr>
      <w:pStyle w:val="Footer"/>
      <w:rPr>
        <w:bCs/>
        <w:sz w:val="16"/>
        <w:szCs w:val="16"/>
      </w:rPr>
    </w:pPr>
    <w:r w:rsidRPr="00CF1468">
      <w:rPr>
        <w:bCs/>
        <w:sz w:val="16"/>
        <w:szCs w:val="16"/>
      </w:rPr>
      <w:fldChar w:fldCharType="begin"/>
    </w:r>
    <w:r w:rsidRPr="00687162">
      <w:rPr>
        <w:bCs/>
        <w:sz w:val="16"/>
        <w:szCs w:val="16"/>
      </w:rPr>
      <w:instrText xml:space="preserve"> FILENAME   \* MERGEFORMAT </w:instrText>
    </w:r>
    <w:r w:rsidRPr="00687162">
      <w:rPr>
        <w:bCs/>
        <w:sz w:val="16"/>
        <w:szCs w:val="16"/>
      </w:rPr>
      <w:fldChar w:fldCharType="separate"/>
    </w:r>
    <w:r w:rsidRPr="00687162">
      <w:rPr>
        <w:bCs/>
        <w:noProof/>
        <w:sz w:val="16"/>
        <w:szCs w:val="16"/>
      </w:rPr>
      <w:t>HIG_RFP_Instructions</w:t>
    </w:r>
    <w:r w:rsidRPr="00687162">
      <w:rPr>
        <w:bCs/>
        <w:sz w:val="16"/>
        <w:szCs w:val="16"/>
      </w:rPr>
      <w:fldChar w:fldCharType="end"/>
    </w:r>
    <w:r w:rsidRPr="00687162">
      <w:rPr>
        <w:bCs/>
        <w:sz w:val="16"/>
        <w:szCs w:val="16"/>
      </w:rPr>
      <w:ptab w:relativeTo="margin" w:alignment="center" w:leader="none"/>
    </w:r>
    <w:r w:rsidRPr="00687162">
      <w:rPr>
        <w:bCs/>
        <w:sz w:val="16"/>
        <w:szCs w:val="16"/>
      </w:rPr>
      <w:t xml:space="preserve">Page </w:t>
    </w:r>
    <w:r w:rsidRPr="00687162">
      <w:rPr>
        <w:bCs/>
        <w:sz w:val="16"/>
        <w:szCs w:val="16"/>
      </w:rPr>
      <w:fldChar w:fldCharType="begin"/>
    </w:r>
    <w:r w:rsidRPr="00687162">
      <w:rPr>
        <w:bCs/>
        <w:sz w:val="16"/>
        <w:szCs w:val="16"/>
      </w:rPr>
      <w:instrText xml:space="preserve"> PAGE  \* Arabic  \* MERGEFORMAT </w:instrText>
    </w:r>
    <w:r w:rsidRPr="00687162">
      <w:rPr>
        <w:bCs/>
        <w:sz w:val="16"/>
        <w:szCs w:val="16"/>
      </w:rPr>
      <w:fldChar w:fldCharType="separate"/>
    </w:r>
    <w:r w:rsidRPr="00687162">
      <w:rPr>
        <w:bCs/>
        <w:noProof/>
        <w:sz w:val="16"/>
        <w:szCs w:val="16"/>
      </w:rPr>
      <w:t>1</w:t>
    </w:r>
    <w:r w:rsidRPr="00687162">
      <w:rPr>
        <w:bCs/>
        <w:sz w:val="16"/>
        <w:szCs w:val="16"/>
      </w:rPr>
      <w:fldChar w:fldCharType="end"/>
    </w:r>
    <w:r w:rsidRPr="00687162">
      <w:rPr>
        <w:bCs/>
        <w:sz w:val="16"/>
        <w:szCs w:val="16"/>
      </w:rPr>
      <w:t xml:space="preserve"> of </w:t>
    </w:r>
    <w:r>
      <w:rPr>
        <w:bCs/>
        <w:sz w:val="16"/>
        <w:szCs w:val="16"/>
      </w:rPr>
      <w:t>14</w:t>
    </w:r>
    <w:r w:rsidRPr="00687162">
      <w:rPr>
        <w:bCs/>
        <w:sz w:val="16"/>
        <w:szCs w:val="16"/>
      </w:rPr>
      <w:ptab w:relativeTo="margin" w:alignment="right" w:leader="none"/>
    </w:r>
    <w:r w:rsidRPr="00687162">
      <w:rPr>
        <w:bCs/>
        <w:sz w:val="16"/>
        <w:szCs w:val="16"/>
      </w:rPr>
      <w:t>02/10/2025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8887450"/>
      <w:docPartObj>
        <w:docPartGallery w:val="Page Numbers (Bottom of Page)"/>
        <w:docPartUnique/>
      </w:docPartObj>
    </w:sdtPr>
    <w:sdtEndPr>
      <w:rPr>
        <w:noProof/>
      </w:rPr>
    </w:sdtEndPr>
    <w:sdtContent>
      <w:p w14:paraId="0305CA58" w14:textId="1C31ED80" w:rsidR="007911FF" w:rsidRDefault="007911FF">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 xml:space="preserve"> of 10</w:t>
        </w:r>
      </w:p>
    </w:sdtContent>
  </w:sdt>
  <w:p w14:paraId="5E90513E" w14:textId="77777777" w:rsidR="00BB78E1" w:rsidRPr="0083763D" w:rsidRDefault="00BB78E1" w:rsidP="008F72E7">
    <w:pPr>
      <w:pStyle w:val="Footer"/>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CFBD9" w14:textId="77777777" w:rsidR="00446EAC" w:rsidRDefault="00446EAC" w:rsidP="00D247F6">
      <w:r>
        <w:separator/>
      </w:r>
    </w:p>
  </w:footnote>
  <w:footnote w:type="continuationSeparator" w:id="0">
    <w:p w14:paraId="2784114E" w14:textId="77777777" w:rsidR="00446EAC" w:rsidRDefault="00446EAC" w:rsidP="00D24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6"/>
      <w:gridCol w:w="5894"/>
    </w:tblGrid>
    <w:tr w:rsidR="008F72E7" w14:paraId="562FA4CA" w14:textId="77777777" w:rsidTr="0036265D">
      <w:tc>
        <w:tcPr>
          <w:tcW w:w="4816" w:type="dxa"/>
        </w:tcPr>
        <w:p w14:paraId="1F32B223" w14:textId="7B8F4031" w:rsidR="00BB78E1" w:rsidRDefault="00BB78E1" w:rsidP="008F72E7">
          <w:pPr>
            <w:rPr>
              <w:color w:val="003865"/>
            </w:rPr>
          </w:pPr>
        </w:p>
      </w:tc>
      <w:tc>
        <w:tcPr>
          <w:tcW w:w="5894" w:type="dxa"/>
          <w:vAlign w:val="center"/>
        </w:tcPr>
        <w:p w14:paraId="76E8A5DA" w14:textId="3AC03A74" w:rsidR="00BB78E1" w:rsidRPr="00057968" w:rsidRDefault="00BB78E1" w:rsidP="0036265D"/>
      </w:tc>
    </w:tr>
  </w:tbl>
  <w:p w14:paraId="7CD1B850" w14:textId="77777777" w:rsidR="00BB78E1" w:rsidRDefault="00BB78E1" w:rsidP="008F72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1" w15:restartNumberingAfterBreak="0">
    <w:nsid w:val="02A64086"/>
    <w:multiLevelType w:val="hybridMultilevel"/>
    <w:tmpl w:val="84FAD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364BC"/>
    <w:multiLevelType w:val="hybridMultilevel"/>
    <w:tmpl w:val="94E6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535ED"/>
    <w:multiLevelType w:val="hybridMultilevel"/>
    <w:tmpl w:val="19F41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DC6955"/>
    <w:multiLevelType w:val="hybridMultilevel"/>
    <w:tmpl w:val="67CA2E24"/>
    <w:lvl w:ilvl="0" w:tplc="9F7CE628">
      <w:start w:val="1"/>
      <w:numFmt w:val="bullet"/>
      <w:lvlText w:val=""/>
      <w:lvlJc w:val="left"/>
      <w:pPr>
        <w:ind w:left="1440" w:hanging="360"/>
      </w:pPr>
      <w:rPr>
        <w:rFonts w:ascii="Symbol" w:hAnsi="Symbol"/>
      </w:rPr>
    </w:lvl>
    <w:lvl w:ilvl="1" w:tplc="2124E6C6">
      <w:start w:val="1"/>
      <w:numFmt w:val="bullet"/>
      <w:lvlText w:val=""/>
      <w:lvlJc w:val="left"/>
      <w:pPr>
        <w:ind w:left="1440" w:hanging="360"/>
      </w:pPr>
      <w:rPr>
        <w:rFonts w:ascii="Symbol" w:hAnsi="Symbol"/>
      </w:rPr>
    </w:lvl>
    <w:lvl w:ilvl="2" w:tplc="E18C3E3A">
      <w:start w:val="1"/>
      <w:numFmt w:val="bullet"/>
      <w:lvlText w:val=""/>
      <w:lvlJc w:val="left"/>
      <w:pPr>
        <w:ind w:left="1440" w:hanging="360"/>
      </w:pPr>
      <w:rPr>
        <w:rFonts w:ascii="Symbol" w:hAnsi="Symbol"/>
      </w:rPr>
    </w:lvl>
    <w:lvl w:ilvl="3" w:tplc="CAD28D7A">
      <w:start w:val="1"/>
      <w:numFmt w:val="bullet"/>
      <w:lvlText w:val=""/>
      <w:lvlJc w:val="left"/>
      <w:pPr>
        <w:ind w:left="1440" w:hanging="360"/>
      </w:pPr>
      <w:rPr>
        <w:rFonts w:ascii="Symbol" w:hAnsi="Symbol"/>
      </w:rPr>
    </w:lvl>
    <w:lvl w:ilvl="4" w:tplc="F4422DF2">
      <w:start w:val="1"/>
      <w:numFmt w:val="bullet"/>
      <w:lvlText w:val=""/>
      <w:lvlJc w:val="left"/>
      <w:pPr>
        <w:ind w:left="1440" w:hanging="360"/>
      </w:pPr>
      <w:rPr>
        <w:rFonts w:ascii="Symbol" w:hAnsi="Symbol"/>
      </w:rPr>
    </w:lvl>
    <w:lvl w:ilvl="5" w:tplc="2154D8E6">
      <w:start w:val="1"/>
      <w:numFmt w:val="bullet"/>
      <w:lvlText w:val=""/>
      <w:lvlJc w:val="left"/>
      <w:pPr>
        <w:ind w:left="1440" w:hanging="360"/>
      </w:pPr>
      <w:rPr>
        <w:rFonts w:ascii="Symbol" w:hAnsi="Symbol"/>
      </w:rPr>
    </w:lvl>
    <w:lvl w:ilvl="6" w:tplc="6A163616">
      <w:start w:val="1"/>
      <w:numFmt w:val="bullet"/>
      <w:lvlText w:val=""/>
      <w:lvlJc w:val="left"/>
      <w:pPr>
        <w:ind w:left="1440" w:hanging="360"/>
      </w:pPr>
      <w:rPr>
        <w:rFonts w:ascii="Symbol" w:hAnsi="Symbol"/>
      </w:rPr>
    </w:lvl>
    <w:lvl w:ilvl="7" w:tplc="32EE478E">
      <w:start w:val="1"/>
      <w:numFmt w:val="bullet"/>
      <w:lvlText w:val=""/>
      <w:lvlJc w:val="left"/>
      <w:pPr>
        <w:ind w:left="1440" w:hanging="360"/>
      </w:pPr>
      <w:rPr>
        <w:rFonts w:ascii="Symbol" w:hAnsi="Symbol"/>
      </w:rPr>
    </w:lvl>
    <w:lvl w:ilvl="8" w:tplc="8188E6B4">
      <w:start w:val="1"/>
      <w:numFmt w:val="bullet"/>
      <w:lvlText w:val=""/>
      <w:lvlJc w:val="left"/>
      <w:pPr>
        <w:ind w:left="1440" w:hanging="360"/>
      </w:pPr>
      <w:rPr>
        <w:rFonts w:ascii="Symbol" w:hAnsi="Symbol"/>
      </w:rPr>
    </w:lvl>
  </w:abstractNum>
  <w:abstractNum w:abstractNumId="5" w15:restartNumberingAfterBreak="0">
    <w:nsid w:val="0E324EDC"/>
    <w:multiLevelType w:val="hybridMultilevel"/>
    <w:tmpl w:val="1F566C5C"/>
    <w:lvl w:ilvl="0" w:tplc="9EB405FC">
      <w:start w:val="1"/>
      <w:numFmt w:val="decimal"/>
      <w:lvlText w:val="%1)"/>
      <w:lvlJc w:val="left"/>
      <w:pPr>
        <w:ind w:left="1020" w:hanging="360"/>
      </w:pPr>
    </w:lvl>
    <w:lvl w:ilvl="1" w:tplc="D026C532">
      <w:start w:val="1"/>
      <w:numFmt w:val="decimal"/>
      <w:lvlText w:val="%2)"/>
      <w:lvlJc w:val="left"/>
      <w:pPr>
        <w:ind w:left="1020" w:hanging="360"/>
      </w:pPr>
    </w:lvl>
    <w:lvl w:ilvl="2" w:tplc="93C6BF2A">
      <w:start w:val="1"/>
      <w:numFmt w:val="decimal"/>
      <w:lvlText w:val="%3)"/>
      <w:lvlJc w:val="left"/>
      <w:pPr>
        <w:ind w:left="1020" w:hanging="360"/>
      </w:pPr>
    </w:lvl>
    <w:lvl w:ilvl="3" w:tplc="352C4A22">
      <w:start w:val="1"/>
      <w:numFmt w:val="decimal"/>
      <w:lvlText w:val="%4)"/>
      <w:lvlJc w:val="left"/>
      <w:pPr>
        <w:ind w:left="1020" w:hanging="360"/>
      </w:pPr>
    </w:lvl>
    <w:lvl w:ilvl="4" w:tplc="7A663AC6">
      <w:start w:val="1"/>
      <w:numFmt w:val="decimal"/>
      <w:lvlText w:val="%5)"/>
      <w:lvlJc w:val="left"/>
      <w:pPr>
        <w:ind w:left="1020" w:hanging="360"/>
      </w:pPr>
    </w:lvl>
    <w:lvl w:ilvl="5" w:tplc="32A677E8">
      <w:start w:val="1"/>
      <w:numFmt w:val="decimal"/>
      <w:lvlText w:val="%6)"/>
      <w:lvlJc w:val="left"/>
      <w:pPr>
        <w:ind w:left="1020" w:hanging="360"/>
      </w:pPr>
    </w:lvl>
    <w:lvl w:ilvl="6" w:tplc="9FC6DE78">
      <w:start w:val="1"/>
      <w:numFmt w:val="decimal"/>
      <w:lvlText w:val="%7)"/>
      <w:lvlJc w:val="left"/>
      <w:pPr>
        <w:ind w:left="1020" w:hanging="360"/>
      </w:pPr>
    </w:lvl>
    <w:lvl w:ilvl="7" w:tplc="3E9C4572">
      <w:start w:val="1"/>
      <w:numFmt w:val="decimal"/>
      <w:lvlText w:val="%8)"/>
      <w:lvlJc w:val="left"/>
      <w:pPr>
        <w:ind w:left="1020" w:hanging="360"/>
      </w:pPr>
    </w:lvl>
    <w:lvl w:ilvl="8" w:tplc="85AECC92">
      <w:start w:val="1"/>
      <w:numFmt w:val="decimal"/>
      <w:lvlText w:val="%9)"/>
      <w:lvlJc w:val="left"/>
      <w:pPr>
        <w:ind w:left="1020" w:hanging="360"/>
      </w:pPr>
    </w:lvl>
  </w:abstractNum>
  <w:abstractNum w:abstractNumId="6" w15:restartNumberingAfterBreak="0">
    <w:nsid w:val="126D1CFB"/>
    <w:multiLevelType w:val="hybridMultilevel"/>
    <w:tmpl w:val="E990E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8C4585"/>
    <w:multiLevelType w:val="hybridMultilevel"/>
    <w:tmpl w:val="BC8E4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612D47"/>
    <w:multiLevelType w:val="hybridMultilevel"/>
    <w:tmpl w:val="613812CE"/>
    <w:lvl w:ilvl="0" w:tplc="CC5CA020">
      <w:start w:val="1"/>
      <w:numFmt w:val="bullet"/>
      <w:lvlText w:val=""/>
      <w:lvlJc w:val="left"/>
      <w:pPr>
        <w:ind w:left="1440" w:hanging="360"/>
      </w:pPr>
      <w:rPr>
        <w:rFonts w:ascii="Symbol" w:hAnsi="Symbol"/>
      </w:rPr>
    </w:lvl>
    <w:lvl w:ilvl="1" w:tplc="9A043B68">
      <w:start w:val="1"/>
      <w:numFmt w:val="bullet"/>
      <w:lvlText w:val=""/>
      <w:lvlJc w:val="left"/>
      <w:pPr>
        <w:ind w:left="1440" w:hanging="360"/>
      </w:pPr>
      <w:rPr>
        <w:rFonts w:ascii="Symbol" w:hAnsi="Symbol"/>
      </w:rPr>
    </w:lvl>
    <w:lvl w:ilvl="2" w:tplc="557E18BC">
      <w:start w:val="1"/>
      <w:numFmt w:val="bullet"/>
      <w:lvlText w:val=""/>
      <w:lvlJc w:val="left"/>
      <w:pPr>
        <w:ind w:left="1440" w:hanging="360"/>
      </w:pPr>
      <w:rPr>
        <w:rFonts w:ascii="Symbol" w:hAnsi="Symbol"/>
      </w:rPr>
    </w:lvl>
    <w:lvl w:ilvl="3" w:tplc="43241F3E">
      <w:start w:val="1"/>
      <w:numFmt w:val="bullet"/>
      <w:lvlText w:val=""/>
      <w:lvlJc w:val="left"/>
      <w:pPr>
        <w:ind w:left="1440" w:hanging="360"/>
      </w:pPr>
      <w:rPr>
        <w:rFonts w:ascii="Symbol" w:hAnsi="Symbol"/>
      </w:rPr>
    </w:lvl>
    <w:lvl w:ilvl="4" w:tplc="F624541E">
      <w:start w:val="1"/>
      <w:numFmt w:val="bullet"/>
      <w:lvlText w:val=""/>
      <w:lvlJc w:val="left"/>
      <w:pPr>
        <w:ind w:left="1440" w:hanging="360"/>
      </w:pPr>
      <w:rPr>
        <w:rFonts w:ascii="Symbol" w:hAnsi="Symbol"/>
      </w:rPr>
    </w:lvl>
    <w:lvl w:ilvl="5" w:tplc="91B67864">
      <w:start w:val="1"/>
      <w:numFmt w:val="bullet"/>
      <w:lvlText w:val=""/>
      <w:lvlJc w:val="left"/>
      <w:pPr>
        <w:ind w:left="1440" w:hanging="360"/>
      </w:pPr>
      <w:rPr>
        <w:rFonts w:ascii="Symbol" w:hAnsi="Symbol"/>
      </w:rPr>
    </w:lvl>
    <w:lvl w:ilvl="6" w:tplc="FCACF1C2">
      <w:start w:val="1"/>
      <w:numFmt w:val="bullet"/>
      <w:lvlText w:val=""/>
      <w:lvlJc w:val="left"/>
      <w:pPr>
        <w:ind w:left="1440" w:hanging="360"/>
      </w:pPr>
      <w:rPr>
        <w:rFonts w:ascii="Symbol" w:hAnsi="Symbol"/>
      </w:rPr>
    </w:lvl>
    <w:lvl w:ilvl="7" w:tplc="51F0B478">
      <w:start w:val="1"/>
      <w:numFmt w:val="bullet"/>
      <w:lvlText w:val=""/>
      <w:lvlJc w:val="left"/>
      <w:pPr>
        <w:ind w:left="1440" w:hanging="360"/>
      </w:pPr>
      <w:rPr>
        <w:rFonts w:ascii="Symbol" w:hAnsi="Symbol"/>
      </w:rPr>
    </w:lvl>
    <w:lvl w:ilvl="8" w:tplc="12CC77AC">
      <w:start w:val="1"/>
      <w:numFmt w:val="bullet"/>
      <w:lvlText w:val=""/>
      <w:lvlJc w:val="left"/>
      <w:pPr>
        <w:ind w:left="1440" w:hanging="360"/>
      </w:pPr>
      <w:rPr>
        <w:rFonts w:ascii="Symbol" w:hAnsi="Symbol"/>
      </w:rPr>
    </w:lvl>
  </w:abstractNum>
  <w:abstractNum w:abstractNumId="9" w15:restartNumberingAfterBreak="0">
    <w:nsid w:val="1B5C45B9"/>
    <w:multiLevelType w:val="hybridMultilevel"/>
    <w:tmpl w:val="DA5C9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703C80"/>
    <w:multiLevelType w:val="hybridMultilevel"/>
    <w:tmpl w:val="ACBE7C2A"/>
    <w:lvl w:ilvl="0" w:tplc="FD8C9D80">
      <w:start w:val="1"/>
      <w:numFmt w:val="decimal"/>
      <w:lvlText w:val="%1."/>
      <w:lvlJc w:val="left"/>
      <w:pPr>
        <w:ind w:left="360" w:hanging="360"/>
      </w:pPr>
      <w:rPr>
        <w:rFonts w:asciiTheme="minorHAnsi" w:hAnsiTheme="minorHAnsi" w:cstheme="minorHAnsi" w:hint="default"/>
      </w:rPr>
    </w:lvl>
    <w:lvl w:ilvl="1" w:tplc="04090015">
      <w:start w:val="1"/>
      <w:numFmt w:val="upperLetter"/>
      <w:lvlText w:val="%2."/>
      <w:lvlJc w:val="left"/>
      <w:pPr>
        <w:ind w:left="1080" w:hanging="360"/>
      </w:pPr>
    </w:lvl>
    <w:lvl w:ilvl="2" w:tplc="04090019">
      <w:start w:val="1"/>
      <w:numFmt w:val="lowerLetter"/>
      <w:lvlText w:val="%3."/>
      <w:lvlJc w:val="left"/>
      <w:pPr>
        <w:ind w:left="1980" w:hanging="36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238E4940"/>
    <w:multiLevelType w:val="hybridMultilevel"/>
    <w:tmpl w:val="5178B91C"/>
    <w:lvl w:ilvl="0" w:tplc="14C2CC9E">
      <w:start w:val="1"/>
      <w:numFmt w:val="bullet"/>
      <w:pStyle w:val="ListParagraph"/>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6A530E9"/>
    <w:multiLevelType w:val="hybridMultilevel"/>
    <w:tmpl w:val="200A8264"/>
    <w:lvl w:ilvl="0" w:tplc="C2CA6902">
      <w:start w:val="1"/>
      <w:numFmt w:val="bullet"/>
      <w:lvlText w:val=""/>
      <w:lvlJc w:val="left"/>
      <w:pPr>
        <w:ind w:left="1440" w:hanging="360"/>
      </w:pPr>
      <w:rPr>
        <w:rFonts w:ascii="Symbol" w:hAnsi="Symbol"/>
      </w:rPr>
    </w:lvl>
    <w:lvl w:ilvl="1" w:tplc="D6C28456">
      <w:start w:val="1"/>
      <w:numFmt w:val="bullet"/>
      <w:lvlText w:val=""/>
      <w:lvlJc w:val="left"/>
      <w:pPr>
        <w:ind w:left="1440" w:hanging="360"/>
      </w:pPr>
      <w:rPr>
        <w:rFonts w:ascii="Symbol" w:hAnsi="Symbol"/>
      </w:rPr>
    </w:lvl>
    <w:lvl w:ilvl="2" w:tplc="6BB22324">
      <w:start w:val="1"/>
      <w:numFmt w:val="bullet"/>
      <w:lvlText w:val=""/>
      <w:lvlJc w:val="left"/>
      <w:pPr>
        <w:ind w:left="1440" w:hanging="360"/>
      </w:pPr>
      <w:rPr>
        <w:rFonts w:ascii="Symbol" w:hAnsi="Symbol"/>
      </w:rPr>
    </w:lvl>
    <w:lvl w:ilvl="3" w:tplc="7E6EE646">
      <w:start w:val="1"/>
      <w:numFmt w:val="bullet"/>
      <w:lvlText w:val=""/>
      <w:lvlJc w:val="left"/>
      <w:pPr>
        <w:ind w:left="1440" w:hanging="360"/>
      </w:pPr>
      <w:rPr>
        <w:rFonts w:ascii="Symbol" w:hAnsi="Symbol"/>
      </w:rPr>
    </w:lvl>
    <w:lvl w:ilvl="4" w:tplc="CF2675E6">
      <w:start w:val="1"/>
      <w:numFmt w:val="bullet"/>
      <w:lvlText w:val=""/>
      <w:lvlJc w:val="left"/>
      <w:pPr>
        <w:ind w:left="1440" w:hanging="360"/>
      </w:pPr>
      <w:rPr>
        <w:rFonts w:ascii="Symbol" w:hAnsi="Symbol"/>
      </w:rPr>
    </w:lvl>
    <w:lvl w:ilvl="5" w:tplc="77768446">
      <w:start w:val="1"/>
      <w:numFmt w:val="bullet"/>
      <w:lvlText w:val=""/>
      <w:lvlJc w:val="left"/>
      <w:pPr>
        <w:ind w:left="1440" w:hanging="360"/>
      </w:pPr>
      <w:rPr>
        <w:rFonts w:ascii="Symbol" w:hAnsi="Symbol"/>
      </w:rPr>
    </w:lvl>
    <w:lvl w:ilvl="6" w:tplc="1550148E">
      <w:start w:val="1"/>
      <w:numFmt w:val="bullet"/>
      <w:lvlText w:val=""/>
      <w:lvlJc w:val="left"/>
      <w:pPr>
        <w:ind w:left="1440" w:hanging="360"/>
      </w:pPr>
      <w:rPr>
        <w:rFonts w:ascii="Symbol" w:hAnsi="Symbol"/>
      </w:rPr>
    </w:lvl>
    <w:lvl w:ilvl="7" w:tplc="0322B12E">
      <w:start w:val="1"/>
      <w:numFmt w:val="bullet"/>
      <w:lvlText w:val=""/>
      <w:lvlJc w:val="left"/>
      <w:pPr>
        <w:ind w:left="1440" w:hanging="360"/>
      </w:pPr>
      <w:rPr>
        <w:rFonts w:ascii="Symbol" w:hAnsi="Symbol"/>
      </w:rPr>
    </w:lvl>
    <w:lvl w:ilvl="8" w:tplc="D106767A">
      <w:start w:val="1"/>
      <w:numFmt w:val="bullet"/>
      <w:lvlText w:val=""/>
      <w:lvlJc w:val="left"/>
      <w:pPr>
        <w:ind w:left="1440" w:hanging="360"/>
      </w:pPr>
      <w:rPr>
        <w:rFonts w:ascii="Symbol" w:hAnsi="Symbol"/>
      </w:rPr>
    </w:lvl>
  </w:abstractNum>
  <w:abstractNum w:abstractNumId="13" w15:restartNumberingAfterBreak="0">
    <w:nsid w:val="26B94B5E"/>
    <w:multiLevelType w:val="hybridMultilevel"/>
    <w:tmpl w:val="1130BF9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CB733DC"/>
    <w:multiLevelType w:val="hybridMultilevel"/>
    <w:tmpl w:val="78667A76"/>
    <w:lvl w:ilvl="0" w:tplc="07721296">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4C040B"/>
    <w:multiLevelType w:val="hybridMultilevel"/>
    <w:tmpl w:val="B7385C62"/>
    <w:lvl w:ilvl="0" w:tplc="80FA8DBA">
      <w:start w:val="1"/>
      <w:numFmt w:val="decimal"/>
      <w:lvlText w:val="%1)"/>
      <w:lvlJc w:val="left"/>
      <w:pPr>
        <w:ind w:left="1020" w:hanging="360"/>
      </w:pPr>
    </w:lvl>
    <w:lvl w:ilvl="1" w:tplc="8D00B45A">
      <w:start w:val="1"/>
      <w:numFmt w:val="decimal"/>
      <w:lvlText w:val="%2)"/>
      <w:lvlJc w:val="left"/>
      <w:pPr>
        <w:ind w:left="1020" w:hanging="360"/>
      </w:pPr>
    </w:lvl>
    <w:lvl w:ilvl="2" w:tplc="720A4CD4">
      <w:start w:val="1"/>
      <w:numFmt w:val="decimal"/>
      <w:lvlText w:val="%3)"/>
      <w:lvlJc w:val="left"/>
      <w:pPr>
        <w:ind w:left="1020" w:hanging="360"/>
      </w:pPr>
    </w:lvl>
    <w:lvl w:ilvl="3" w:tplc="C32865F0">
      <w:start w:val="1"/>
      <w:numFmt w:val="decimal"/>
      <w:lvlText w:val="%4)"/>
      <w:lvlJc w:val="left"/>
      <w:pPr>
        <w:ind w:left="1020" w:hanging="360"/>
      </w:pPr>
    </w:lvl>
    <w:lvl w:ilvl="4" w:tplc="196C8DB8">
      <w:start w:val="1"/>
      <w:numFmt w:val="decimal"/>
      <w:lvlText w:val="%5)"/>
      <w:lvlJc w:val="left"/>
      <w:pPr>
        <w:ind w:left="1020" w:hanging="360"/>
      </w:pPr>
    </w:lvl>
    <w:lvl w:ilvl="5" w:tplc="747EA2CC">
      <w:start w:val="1"/>
      <w:numFmt w:val="decimal"/>
      <w:lvlText w:val="%6)"/>
      <w:lvlJc w:val="left"/>
      <w:pPr>
        <w:ind w:left="1020" w:hanging="360"/>
      </w:pPr>
    </w:lvl>
    <w:lvl w:ilvl="6" w:tplc="E5A8E73C">
      <w:start w:val="1"/>
      <w:numFmt w:val="decimal"/>
      <w:lvlText w:val="%7)"/>
      <w:lvlJc w:val="left"/>
      <w:pPr>
        <w:ind w:left="1020" w:hanging="360"/>
      </w:pPr>
    </w:lvl>
    <w:lvl w:ilvl="7" w:tplc="735890E6">
      <w:start w:val="1"/>
      <w:numFmt w:val="decimal"/>
      <w:lvlText w:val="%8)"/>
      <w:lvlJc w:val="left"/>
      <w:pPr>
        <w:ind w:left="1020" w:hanging="360"/>
      </w:pPr>
    </w:lvl>
    <w:lvl w:ilvl="8" w:tplc="2A766728">
      <w:start w:val="1"/>
      <w:numFmt w:val="decimal"/>
      <w:lvlText w:val="%9)"/>
      <w:lvlJc w:val="left"/>
      <w:pPr>
        <w:ind w:left="1020" w:hanging="360"/>
      </w:pPr>
    </w:lvl>
  </w:abstractNum>
  <w:abstractNum w:abstractNumId="16" w15:restartNumberingAfterBreak="0">
    <w:nsid w:val="3BE73FCF"/>
    <w:multiLevelType w:val="hybridMultilevel"/>
    <w:tmpl w:val="0A969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CE54ED"/>
    <w:multiLevelType w:val="multilevel"/>
    <w:tmpl w:val="5A6A1412"/>
    <w:lvl w:ilvl="0">
      <w:start w:val="1"/>
      <w:numFmt w:val="bullet"/>
      <w:lvlText w:val=""/>
      <w:lvlJc w:val="left"/>
      <w:pPr>
        <w:tabs>
          <w:tab w:val="num" w:pos="630"/>
        </w:tabs>
        <w:ind w:left="630" w:hanging="360"/>
      </w:pPr>
      <w:rPr>
        <w:rFonts w:ascii="Symbol" w:hAnsi="Symbol" w:hint="default"/>
        <w:sz w:val="20"/>
      </w:rPr>
    </w:lvl>
    <w:lvl w:ilvl="1">
      <w:start w:val="1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6E5D14"/>
    <w:multiLevelType w:val="hybridMultilevel"/>
    <w:tmpl w:val="46CECF28"/>
    <w:lvl w:ilvl="0" w:tplc="BB90FF90">
      <w:start w:val="1"/>
      <w:numFmt w:val="bullet"/>
      <w:lvlText w:val=""/>
      <w:lvlJc w:val="left"/>
      <w:pPr>
        <w:ind w:left="1440" w:hanging="360"/>
      </w:pPr>
      <w:rPr>
        <w:rFonts w:ascii="Symbol" w:hAnsi="Symbol"/>
      </w:rPr>
    </w:lvl>
    <w:lvl w:ilvl="1" w:tplc="D0889488">
      <w:start w:val="1"/>
      <w:numFmt w:val="bullet"/>
      <w:lvlText w:val=""/>
      <w:lvlJc w:val="left"/>
      <w:pPr>
        <w:ind w:left="1440" w:hanging="360"/>
      </w:pPr>
      <w:rPr>
        <w:rFonts w:ascii="Symbol" w:hAnsi="Symbol"/>
      </w:rPr>
    </w:lvl>
    <w:lvl w:ilvl="2" w:tplc="9B62A0F6">
      <w:start w:val="1"/>
      <w:numFmt w:val="bullet"/>
      <w:lvlText w:val=""/>
      <w:lvlJc w:val="left"/>
      <w:pPr>
        <w:ind w:left="1440" w:hanging="360"/>
      </w:pPr>
      <w:rPr>
        <w:rFonts w:ascii="Symbol" w:hAnsi="Symbol"/>
      </w:rPr>
    </w:lvl>
    <w:lvl w:ilvl="3" w:tplc="AB822086">
      <w:start w:val="1"/>
      <w:numFmt w:val="bullet"/>
      <w:lvlText w:val=""/>
      <w:lvlJc w:val="left"/>
      <w:pPr>
        <w:ind w:left="1440" w:hanging="360"/>
      </w:pPr>
      <w:rPr>
        <w:rFonts w:ascii="Symbol" w:hAnsi="Symbol"/>
      </w:rPr>
    </w:lvl>
    <w:lvl w:ilvl="4" w:tplc="2586049E">
      <w:start w:val="1"/>
      <w:numFmt w:val="bullet"/>
      <w:lvlText w:val=""/>
      <w:lvlJc w:val="left"/>
      <w:pPr>
        <w:ind w:left="1440" w:hanging="360"/>
      </w:pPr>
      <w:rPr>
        <w:rFonts w:ascii="Symbol" w:hAnsi="Symbol"/>
      </w:rPr>
    </w:lvl>
    <w:lvl w:ilvl="5" w:tplc="97FAF7C4">
      <w:start w:val="1"/>
      <w:numFmt w:val="bullet"/>
      <w:lvlText w:val=""/>
      <w:lvlJc w:val="left"/>
      <w:pPr>
        <w:ind w:left="1440" w:hanging="360"/>
      </w:pPr>
      <w:rPr>
        <w:rFonts w:ascii="Symbol" w:hAnsi="Symbol"/>
      </w:rPr>
    </w:lvl>
    <w:lvl w:ilvl="6" w:tplc="DCE0353E">
      <w:start w:val="1"/>
      <w:numFmt w:val="bullet"/>
      <w:lvlText w:val=""/>
      <w:lvlJc w:val="left"/>
      <w:pPr>
        <w:ind w:left="1440" w:hanging="360"/>
      </w:pPr>
      <w:rPr>
        <w:rFonts w:ascii="Symbol" w:hAnsi="Symbol"/>
      </w:rPr>
    </w:lvl>
    <w:lvl w:ilvl="7" w:tplc="F0707DA2">
      <w:start w:val="1"/>
      <w:numFmt w:val="bullet"/>
      <w:lvlText w:val=""/>
      <w:lvlJc w:val="left"/>
      <w:pPr>
        <w:ind w:left="1440" w:hanging="360"/>
      </w:pPr>
      <w:rPr>
        <w:rFonts w:ascii="Symbol" w:hAnsi="Symbol"/>
      </w:rPr>
    </w:lvl>
    <w:lvl w:ilvl="8" w:tplc="534AB016">
      <w:start w:val="1"/>
      <w:numFmt w:val="bullet"/>
      <w:lvlText w:val=""/>
      <w:lvlJc w:val="left"/>
      <w:pPr>
        <w:ind w:left="1440" w:hanging="360"/>
      </w:pPr>
      <w:rPr>
        <w:rFonts w:ascii="Symbol" w:hAnsi="Symbol"/>
      </w:rPr>
    </w:lvl>
  </w:abstractNum>
  <w:abstractNum w:abstractNumId="19" w15:restartNumberingAfterBreak="0">
    <w:nsid w:val="4C354271"/>
    <w:multiLevelType w:val="hybridMultilevel"/>
    <w:tmpl w:val="4A1463CC"/>
    <w:lvl w:ilvl="0" w:tplc="DFE29AD0">
      <w:start w:val="1"/>
      <w:numFmt w:val="bullet"/>
      <w:lvlText w:val=""/>
      <w:lvlJc w:val="left"/>
      <w:pPr>
        <w:ind w:left="1440" w:hanging="360"/>
      </w:pPr>
      <w:rPr>
        <w:rFonts w:ascii="Symbol" w:hAnsi="Symbol"/>
      </w:rPr>
    </w:lvl>
    <w:lvl w:ilvl="1" w:tplc="C032C528">
      <w:start w:val="1"/>
      <w:numFmt w:val="bullet"/>
      <w:lvlText w:val=""/>
      <w:lvlJc w:val="left"/>
      <w:pPr>
        <w:ind w:left="1440" w:hanging="360"/>
      </w:pPr>
      <w:rPr>
        <w:rFonts w:ascii="Symbol" w:hAnsi="Symbol"/>
      </w:rPr>
    </w:lvl>
    <w:lvl w:ilvl="2" w:tplc="4D203310">
      <w:start w:val="1"/>
      <w:numFmt w:val="bullet"/>
      <w:lvlText w:val=""/>
      <w:lvlJc w:val="left"/>
      <w:pPr>
        <w:ind w:left="1440" w:hanging="360"/>
      </w:pPr>
      <w:rPr>
        <w:rFonts w:ascii="Symbol" w:hAnsi="Symbol"/>
      </w:rPr>
    </w:lvl>
    <w:lvl w:ilvl="3" w:tplc="5572887C">
      <w:start w:val="1"/>
      <w:numFmt w:val="bullet"/>
      <w:lvlText w:val=""/>
      <w:lvlJc w:val="left"/>
      <w:pPr>
        <w:ind w:left="1440" w:hanging="360"/>
      </w:pPr>
      <w:rPr>
        <w:rFonts w:ascii="Symbol" w:hAnsi="Symbol"/>
      </w:rPr>
    </w:lvl>
    <w:lvl w:ilvl="4" w:tplc="70FE640E">
      <w:start w:val="1"/>
      <w:numFmt w:val="bullet"/>
      <w:lvlText w:val=""/>
      <w:lvlJc w:val="left"/>
      <w:pPr>
        <w:ind w:left="1440" w:hanging="360"/>
      </w:pPr>
      <w:rPr>
        <w:rFonts w:ascii="Symbol" w:hAnsi="Symbol"/>
      </w:rPr>
    </w:lvl>
    <w:lvl w:ilvl="5" w:tplc="E980626C">
      <w:start w:val="1"/>
      <w:numFmt w:val="bullet"/>
      <w:lvlText w:val=""/>
      <w:lvlJc w:val="left"/>
      <w:pPr>
        <w:ind w:left="1440" w:hanging="360"/>
      </w:pPr>
      <w:rPr>
        <w:rFonts w:ascii="Symbol" w:hAnsi="Symbol"/>
      </w:rPr>
    </w:lvl>
    <w:lvl w:ilvl="6" w:tplc="5816BF3A">
      <w:start w:val="1"/>
      <w:numFmt w:val="bullet"/>
      <w:lvlText w:val=""/>
      <w:lvlJc w:val="left"/>
      <w:pPr>
        <w:ind w:left="1440" w:hanging="360"/>
      </w:pPr>
      <w:rPr>
        <w:rFonts w:ascii="Symbol" w:hAnsi="Symbol"/>
      </w:rPr>
    </w:lvl>
    <w:lvl w:ilvl="7" w:tplc="83C6A7C8">
      <w:start w:val="1"/>
      <w:numFmt w:val="bullet"/>
      <w:lvlText w:val=""/>
      <w:lvlJc w:val="left"/>
      <w:pPr>
        <w:ind w:left="1440" w:hanging="360"/>
      </w:pPr>
      <w:rPr>
        <w:rFonts w:ascii="Symbol" w:hAnsi="Symbol"/>
      </w:rPr>
    </w:lvl>
    <w:lvl w:ilvl="8" w:tplc="507C24E0">
      <w:start w:val="1"/>
      <w:numFmt w:val="bullet"/>
      <w:lvlText w:val=""/>
      <w:lvlJc w:val="left"/>
      <w:pPr>
        <w:ind w:left="1440" w:hanging="360"/>
      </w:pPr>
      <w:rPr>
        <w:rFonts w:ascii="Symbol" w:hAnsi="Symbol"/>
      </w:rPr>
    </w:lvl>
  </w:abstractNum>
  <w:abstractNum w:abstractNumId="20" w15:restartNumberingAfterBreak="0">
    <w:nsid w:val="4EB370F4"/>
    <w:multiLevelType w:val="hybridMultilevel"/>
    <w:tmpl w:val="1E9CB10C"/>
    <w:lvl w:ilvl="0" w:tplc="CB0C308C">
      <w:start w:val="1"/>
      <w:numFmt w:val="bullet"/>
      <w:lvlText w:val=""/>
      <w:lvlJc w:val="left"/>
      <w:pPr>
        <w:ind w:left="1440" w:hanging="360"/>
      </w:pPr>
      <w:rPr>
        <w:rFonts w:ascii="Symbol" w:hAnsi="Symbol"/>
      </w:rPr>
    </w:lvl>
    <w:lvl w:ilvl="1" w:tplc="C4F0A47E">
      <w:start w:val="1"/>
      <w:numFmt w:val="bullet"/>
      <w:lvlText w:val=""/>
      <w:lvlJc w:val="left"/>
      <w:pPr>
        <w:ind w:left="1440" w:hanging="360"/>
      </w:pPr>
      <w:rPr>
        <w:rFonts w:ascii="Symbol" w:hAnsi="Symbol"/>
      </w:rPr>
    </w:lvl>
    <w:lvl w:ilvl="2" w:tplc="204C71E0">
      <w:start w:val="1"/>
      <w:numFmt w:val="bullet"/>
      <w:lvlText w:val=""/>
      <w:lvlJc w:val="left"/>
      <w:pPr>
        <w:ind w:left="1440" w:hanging="360"/>
      </w:pPr>
      <w:rPr>
        <w:rFonts w:ascii="Symbol" w:hAnsi="Symbol"/>
      </w:rPr>
    </w:lvl>
    <w:lvl w:ilvl="3" w:tplc="1CC28C16">
      <w:start w:val="1"/>
      <w:numFmt w:val="bullet"/>
      <w:lvlText w:val=""/>
      <w:lvlJc w:val="left"/>
      <w:pPr>
        <w:ind w:left="1440" w:hanging="360"/>
      </w:pPr>
      <w:rPr>
        <w:rFonts w:ascii="Symbol" w:hAnsi="Symbol"/>
      </w:rPr>
    </w:lvl>
    <w:lvl w:ilvl="4" w:tplc="C1D805E2">
      <w:start w:val="1"/>
      <w:numFmt w:val="bullet"/>
      <w:lvlText w:val=""/>
      <w:lvlJc w:val="left"/>
      <w:pPr>
        <w:ind w:left="1440" w:hanging="360"/>
      </w:pPr>
      <w:rPr>
        <w:rFonts w:ascii="Symbol" w:hAnsi="Symbol"/>
      </w:rPr>
    </w:lvl>
    <w:lvl w:ilvl="5" w:tplc="EB909EA8">
      <w:start w:val="1"/>
      <w:numFmt w:val="bullet"/>
      <w:lvlText w:val=""/>
      <w:lvlJc w:val="left"/>
      <w:pPr>
        <w:ind w:left="1440" w:hanging="360"/>
      </w:pPr>
      <w:rPr>
        <w:rFonts w:ascii="Symbol" w:hAnsi="Symbol"/>
      </w:rPr>
    </w:lvl>
    <w:lvl w:ilvl="6" w:tplc="FA3EB920">
      <w:start w:val="1"/>
      <w:numFmt w:val="bullet"/>
      <w:lvlText w:val=""/>
      <w:lvlJc w:val="left"/>
      <w:pPr>
        <w:ind w:left="1440" w:hanging="360"/>
      </w:pPr>
      <w:rPr>
        <w:rFonts w:ascii="Symbol" w:hAnsi="Symbol"/>
      </w:rPr>
    </w:lvl>
    <w:lvl w:ilvl="7" w:tplc="B92C62A0">
      <w:start w:val="1"/>
      <w:numFmt w:val="bullet"/>
      <w:lvlText w:val=""/>
      <w:lvlJc w:val="left"/>
      <w:pPr>
        <w:ind w:left="1440" w:hanging="360"/>
      </w:pPr>
      <w:rPr>
        <w:rFonts w:ascii="Symbol" w:hAnsi="Symbol"/>
      </w:rPr>
    </w:lvl>
    <w:lvl w:ilvl="8" w:tplc="1876D8E4">
      <w:start w:val="1"/>
      <w:numFmt w:val="bullet"/>
      <w:lvlText w:val=""/>
      <w:lvlJc w:val="left"/>
      <w:pPr>
        <w:ind w:left="1440" w:hanging="360"/>
      </w:pPr>
      <w:rPr>
        <w:rFonts w:ascii="Symbol" w:hAnsi="Symbol"/>
      </w:rPr>
    </w:lvl>
  </w:abstractNum>
  <w:abstractNum w:abstractNumId="21" w15:restartNumberingAfterBreak="0">
    <w:nsid w:val="52705E28"/>
    <w:multiLevelType w:val="hybridMultilevel"/>
    <w:tmpl w:val="0E460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462F70"/>
    <w:multiLevelType w:val="hybridMultilevel"/>
    <w:tmpl w:val="2EB05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885942"/>
    <w:multiLevelType w:val="hybridMultilevel"/>
    <w:tmpl w:val="70A4CDE8"/>
    <w:lvl w:ilvl="0" w:tplc="04090015">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8D126A"/>
    <w:multiLevelType w:val="hybridMultilevel"/>
    <w:tmpl w:val="54D6F1DC"/>
    <w:lvl w:ilvl="0" w:tplc="05DAF45E">
      <w:start w:val="1"/>
      <w:numFmt w:val="bullet"/>
      <w:lvlText w:val=""/>
      <w:lvlJc w:val="left"/>
      <w:pPr>
        <w:ind w:left="1440" w:hanging="360"/>
      </w:pPr>
      <w:rPr>
        <w:rFonts w:ascii="Symbol" w:hAnsi="Symbol"/>
      </w:rPr>
    </w:lvl>
    <w:lvl w:ilvl="1" w:tplc="537E82FE">
      <w:start w:val="1"/>
      <w:numFmt w:val="bullet"/>
      <w:lvlText w:val=""/>
      <w:lvlJc w:val="left"/>
      <w:pPr>
        <w:ind w:left="1440" w:hanging="360"/>
      </w:pPr>
      <w:rPr>
        <w:rFonts w:ascii="Symbol" w:hAnsi="Symbol"/>
      </w:rPr>
    </w:lvl>
    <w:lvl w:ilvl="2" w:tplc="B828520C">
      <w:start w:val="1"/>
      <w:numFmt w:val="bullet"/>
      <w:lvlText w:val=""/>
      <w:lvlJc w:val="left"/>
      <w:pPr>
        <w:ind w:left="1440" w:hanging="360"/>
      </w:pPr>
      <w:rPr>
        <w:rFonts w:ascii="Symbol" w:hAnsi="Symbol"/>
      </w:rPr>
    </w:lvl>
    <w:lvl w:ilvl="3" w:tplc="F82A05A0">
      <w:start w:val="1"/>
      <w:numFmt w:val="bullet"/>
      <w:lvlText w:val=""/>
      <w:lvlJc w:val="left"/>
      <w:pPr>
        <w:ind w:left="1440" w:hanging="360"/>
      </w:pPr>
      <w:rPr>
        <w:rFonts w:ascii="Symbol" w:hAnsi="Symbol"/>
      </w:rPr>
    </w:lvl>
    <w:lvl w:ilvl="4" w:tplc="414083A6">
      <w:start w:val="1"/>
      <w:numFmt w:val="bullet"/>
      <w:lvlText w:val=""/>
      <w:lvlJc w:val="left"/>
      <w:pPr>
        <w:ind w:left="1440" w:hanging="360"/>
      </w:pPr>
      <w:rPr>
        <w:rFonts w:ascii="Symbol" w:hAnsi="Symbol"/>
      </w:rPr>
    </w:lvl>
    <w:lvl w:ilvl="5" w:tplc="FB0C95D2">
      <w:start w:val="1"/>
      <w:numFmt w:val="bullet"/>
      <w:lvlText w:val=""/>
      <w:lvlJc w:val="left"/>
      <w:pPr>
        <w:ind w:left="1440" w:hanging="360"/>
      </w:pPr>
      <w:rPr>
        <w:rFonts w:ascii="Symbol" w:hAnsi="Symbol"/>
      </w:rPr>
    </w:lvl>
    <w:lvl w:ilvl="6" w:tplc="32425780">
      <w:start w:val="1"/>
      <w:numFmt w:val="bullet"/>
      <w:lvlText w:val=""/>
      <w:lvlJc w:val="left"/>
      <w:pPr>
        <w:ind w:left="1440" w:hanging="360"/>
      </w:pPr>
      <w:rPr>
        <w:rFonts w:ascii="Symbol" w:hAnsi="Symbol"/>
      </w:rPr>
    </w:lvl>
    <w:lvl w:ilvl="7" w:tplc="5C0EFB24">
      <w:start w:val="1"/>
      <w:numFmt w:val="bullet"/>
      <w:lvlText w:val=""/>
      <w:lvlJc w:val="left"/>
      <w:pPr>
        <w:ind w:left="1440" w:hanging="360"/>
      </w:pPr>
      <w:rPr>
        <w:rFonts w:ascii="Symbol" w:hAnsi="Symbol"/>
      </w:rPr>
    </w:lvl>
    <w:lvl w:ilvl="8" w:tplc="168EB6EA">
      <w:start w:val="1"/>
      <w:numFmt w:val="bullet"/>
      <w:lvlText w:val=""/>
      <w:lvlJc w:val="left"/>
      <w:pPr>
        <w:ind w:left="1440" w:hanging="360"/>
      </w:pPr>
      <w:rPr>
        <w:rFonts w:ascii="Symbol" w:hAnsi="Symbol"/>
      </w:rPr>
    </w:lvl>
  </w:abstractNum>
  <w:abstractNum w:abstractNumId="25" w15:restartNumberingAfterBreak="0">
    <w:nsid w:val="636D23A4"/>
    <w:multiLevelType w:val="hybridMultilevel"/>
    <w:tmpl w:val="ED6E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887145"/>
    <w:multiLevelType w:val="hybridMultilevel"/>
    <w:tmpl w:val="71A44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7F197C"/>
    <w:multiLevelType w:val="hybridMultilevel"/>
    <w:tmpl w:val="CA36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926397"/>
    <w:multiLevelType w:val="hybridMultilevel"/>
    <w:tmpl w:val="B8949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4163E5"/>
    <w:multiLevelType w:val="hybridMultilevel"/>
    <w:tmpl w:val="053C0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FEE1741"/>
    <w:multiLevelType w:val="multilevel"/>
    <w:tmpl w:val="9AFC4370"/>
    <w:lvl w:ilvl="0">
      <w:start w:val="1"/>
      <w:numFmt w:val="bullet"/>
      <w:lvlText w:val=""/>
      <w:lvlJc w:val="left"/>
      <w:pPr>
        <w:tabs>
          <w:tab w:val="num" w:pos="630"/>
        </w:tabs>
        <w:ind w:left="630" w:hanging="360"/>
      </w:pPr>
      <w:rPr>
        <w:rFonts w:ascii="Symbol" w:hAnsi="Symbol" w:hint="default"/>
        <w:sz w:val="20"/>
      </w:rPr>
    </w:lvl>
    <w:lvl w:ilvl="1">
      <w:start w:val="1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94935254">
    <w:abstractNumId w:val="0"/>
  </w:num>
  <w:num w:numId="2" w16cid:durableId="1682506400">
    <w:abstractNumId w:val="11"/>
  </w:num>
  <w:num w:numId="3" w16cid:durableId="456413106">
    <w:abstractNumId w:val="27"/>
  </w:num>
  <w:num w:numId="4" w16cid:durableId="375394594">
    <w:abstractNumId w:val="9"/>
  </w:num>
  <w:num w:numId="5" w16cid:durableId="1766150515">
    <w:abstractNumId w:val="6"/>
  </w:num>
  <w:num w:numId="6" w16cid:durableId="827555007">
    <w:abstractNumId w:val="16"/>
  </w:num>
  <w:num w:numId="7" w16cid:durableId="1985964818">
    <w:abstractNumId w:val="7"/>
  </w:num>
  <w:num w:numId="8" w16cid:durableId="642391196">
    <w:abstractNumId w:val="17"/>
  </w:num>
  <w:num w:numId="9" w16cid:durableId="503400669">
    <w:abstractNumId w:val="1"/>
  </w:num>
  <w:num w:numId="10" w16cid:durableId="2094626038">
    <w:abstractNumId w:val="21"/>
  </w:num>
  <w:num w:numId="11" w16cid:durableId="2079596071">
    <w:abstractNumId w:val="3"/>
  </w:num>
  <w:num w:numId="12" w16cid:durableId="859780289">
    <w:abstractNumId w:val="2"/>
  </w:num>
  <w:num w:numId="13" w16cid:durableId="1087191507">
    <w:abstractNumId w:val="14"/>
  </w:num>
  <w:num w:numId="14" w16cid:durableId="732964899">
    <w:abstractNumId w:val="13"/>
  </w:num>
  <w:num w:numId="15" w16cid:durableId="609824955">
    <w:abstractNumId w:val="23"/>
  </w:num>
  <w:num w:numId="16" w16cid:durableId="1664626206">
    <w:abstractNumId w:val="28"/>
  </w:num>
  <w:num w:numId="17" w16cid:durableId="1289972364">
    <w:abstractNumId w:val="5"/>
  </w:num>
  <w:num w:numId="18" w16cid:durableId="2118211596">
    <w:abstractNumId w:val="15"/>
  </w:num>
  <w:num w:numId="19" w16cid:durableId="629824319">
    <w:abstractNumId w:val="29"/>
  </w:num>
  <w:num w:numId="20" w16cid:durableId="1894267689">
    <w:abstractNumId w:val="18"/>
  </w:num>
  <w:num w:numId="21" w16cid:durableId="571739865">
    <w:abstractNumId w:val="20"/>
  </w:num>
  <w:num w:numId="22" w16cid:durableId="1481386686">
    <w:abstractNumId w:val="12"/>
  </w:num>
  <w:num w:numId="23" w16cid:durableId="808744066">
    <w:abstractNumId w:val="8"/>
  </w:num>
  <w:num w:numId="24" w16cid:durableId="296103934">
    <w:abstractNumId w:val="4"/>
  </w:num>
  <w:num w:numId="25" w16cid:durableId="17630144">
    <w:abstractNumId w:val="19"/>
  </w:num>
  <w:num w:numId="26" w16cid:durableId="26225959">
    <w:abstractNumId w:val="25"/>
  </w:num>
  <w:num w:numId="27" w16cid:durableId="1459907181">
    <w:abstractNumId w:val="24"/>
  </w:num>
  <w:num w:numId="28" w16cid:durableId="2018533500">
    <w:abstractNumId w:val="11"/>
  </w:num>
  <w:num w:numId="29" w16cid:durableId="974675873">
    <w:abstractNumId w:val="11"/>
  </w:num>
  <w:num w:numId="30" w16cid:durableId="1360468044">
    <w:abstractNumId w:val="30"/>
  </w:num>
  <w:num w:numId="31" w16cid:durableId="1989700270">
    <w:abstractNumId w:val="22"/>
  </w:num>
  <w:num w:numId="32" w16cid:durableId="5307282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46820082">
    <w:abstractNumId w:val="10"/>
  </w:num>
  <w:num w:numId="34" w16cid:durableId="1170176274">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UKIKZ4mTQ16tziluxti+1S2Kpp9V/Po4IyjvP44ONloXDIEqeYKJlpCk55D73wdwQ+O8XMQR1t++VireV/7+w==" w:salt="VUskx7DtjGeUl1O63fwHz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361"/>
    <w:rsid w:val="00000D7B"/>
    <w:rsid w:val="000016DF"/>
    <w:rsid w:val="00001DE6"/>
    <w:rsid w:val="00002DEC"/>
    <w:rsid w:val="00004081"/>
    <w:rsid w:val="000065AC"/>
    <w:rsid w:val="00006A0A"/>
    <w:rsid w:val="00006A57"/>
    <w:rsid w:val="000100EA"/>
    <w:rsid w:val="00014777"/>
    <w:rsid w:val="000158A7"/>
    <w:rsid w:val="00016323"/>
    <w:rsid w:val="00016346"/>
    <w:rsid w:val="00021D9B"/>
    <w:rsid w:val="0002594F"/>
    <w:rsid w:val="000261E8"/>
    <w:rsid w:val="00027C76"/>
    <w:rsid w:val="00031CC4"/>
    <w:rsid w:val="00032A76"/>
    <w:rsid w:val="00042E6A"/>
    <w:rsid w:val="0005149C"/>
    <w:rsid w:val="00053CC5"/>
    <w:rsid w:val="000635AA"/>
    <w:rsid w:val="00064B90"/>
    <w:rsid w:val="000679D1"/>
    <w:rsid w:val="0007374A"/>
    <w:rsid w:val="00074A30"/>
    <w:rsid w:val="0007512E"/>
    <w:rsid w:val="00080404"/>
    <w:rsid w:val="00084742"/>
    <w:rsid w:val="000863E9"/>
    <w:rsid w:val="00086805"/>
    <w:rsid w:val="00093171"/>
    <w:rsid w:val="00096A18"/>
    <w:rsid w:val="000A072A"/>
    <w:rsid w:val="000A15C1"/>
    <w:rsid w:val="000A324B"/>
    <w:rsid w:val="000B2E68"/>
    <w:rsid w:val="000B3EEF"/>
    <w:rsid w:val="000B4C6F"/>
    <w:rsid w:val="000B504A"/>
    <w:rsid w:val="000C3708"/>
    <w:rsid w:val="000C3761"/>
    <w:rsid w:val="000C5538"/>
    <w:rsid w:val="000C6493"/>
    <w:rsid w:val="000C685D"/>
    <w:rsid w:val="000C7373"/>
    <w:rsid w:val="000C73D0"/>
    <w:rsid w:val="000C7C8C"/>
    <w:rsid w:val="000D14F5"/>
    <w:rsid w:val="000E313B"/>
    <w:rsid w:val="000E3E9D"/>
    <w:rsid w:val="000F4BB1"/>
    <w:rsid w:val="001022FD"/>
    <w:rsid w:val="00113419"/>
    <w:rsid w:val="001220DA"/>
    <w:rsid w:val="001302B4"/>
    <w:rsid w:val="00131E44"/>
    <w:rsid w:val="00135082"/>
    <w:rsid w:val="00135DC7"/>
    <w:rsid w:val="00136D76"/>
    <w:rsid w:val="00142516"/>
    <w:rsid w:val="00143E56"/>
    <w:rsid w:val="00144C12"/>
    <w:rsid w:val="00147ED1"/>
    <w:rsid w:val="001500D6"/>
    <w:rsid w:val="00157C41"/>
    <w:rsid w:val="0016412F"/>
    <w:rsid w:val="001661D9"/>
    <w:rsid w:val="001708EC"/>
    <w:rsid w:val="00170A3A"/>
    <w:rsid w:val="00172E90"/>
    <w:rsid w:val="00177FC3"/>
    <w:rsid w:val="00180769"/>
    <w:rsid w:val="00180D61"/>
    <w:rsid w:val="00190FAC"/>
    <w:rsid w:val="001925A8"/>
    <w:rsid w:val="001961CB"/>
    <w:rsid w:val="0019673D"/>
    <w:rsid w:val="001A1055"/>
    <w:rsid w:val="001A46BB"/>
    <w:rsid w:val="001A5587"/>
    <w:rsid w:val="001A7552"/>
    <w:rsid w:val="001B32C7"/>
    <w:rsid w:val="001B665A"/>
    <w:rsid w:val="001C0FD2"/>
    <w:rsid w:val="001C4B91"/>
    <w:rsid w:val="001C504F"/>
    <w:rsid w:val="001C55E0"/>
    <w:rsid w:val="001C7D5C"/>
    <w:rsid w:val="001D114A"/>
    <w:rsid w:val="001D3216"/>
    <w:rsid w:val="001D3683"/>
    <w:rsid w:val="001D43AD"/>
    <w:rsid w:val="001E021D"/>
    <w:rsid w:val="001E160D"/>
    <w:rsid w:val="001E435D"/>
    <w:rsid w:val="001E4A5B"/>
    <w:rsid w:val="001E57CB"/>
    <w:rsid w:val="001E5ECF"/>
    <w:rsid w:val="001F278F"/>
    <w:rsid w:val="001F3CB9"/>
    <w:rsid w:val="002004FA"/>
    <w:rsid w:val="002047B9"/>
    <w:rsid w:val="00211CA3"/>
    <w:rsid w:val="002171B3"/>
    <w:rsid w:val="00222A49"/>
    <w:rsid w:val="0022552E"/>
    <w:rsid w:val="00227B33"/>
    <w:rsid w:val="00227D62"/>
    <w:rsid w:val="00232CFB"/>
    <w:rsid w:val="0025018B"/>
    <w:rsid w:val="002528CB"/>
    <w:rsid w:val="002543BA"/>
    <w:rsid w:val="00261247"/>
    <w:rsid w:val="0026172C"/>
    <w:rsid w:val="002620BC"/>
    <w:rsid w:val="00264652"/>
    <w:rsid w:val="002720F1"/>
    <w:rsid w:val="00272C03"/>
    <w:rsid w:val="00273962"/>
    <w:rsid w:val="00277822"/>
    <w:rsid w:val="00282084"/>
    <w:rsid w:val="00291052"/>
    <w:rsid w:val="00294858"/>
    <w:rsid w:val="002A32ED"/>
    <w:rsid w:val="002B5E79"/>
    <w:rsid w:val="002C0859"/>
    <w:rsid w:val="002C2C4A"/>
    <w:rsid w:val="002C428A"/>
    <w:rsid w:val="002F1947"/>
    <w:rsid w:val="002F65C7"/>
    <w:rsid w:val="002F7C18"/>
    <w:rsid w:val="00300946"/>
    <w:rsid w:val="00301E9E"/>
    <w:rsid w:val="003033DC"/>
    <w:rsid w:val="00306C4B"/>
    <w:rsid w:val="00306D94"/>
    <w:rsid w:val="003125DF"/>
    <w:rsid w:val="00314675"/>
    <w:rsid w:val="00320D93"/>
    <w:rsid w:val="003211C0"/>
    <w:rsid w:val="00322FB1"/>
    <w:rsid w:val="00323936"/>
    <w:rsid w:val="00324E7E"/>
    <w:rsid w:val="00335736"/>
    <w:rsid w:val="00337DED"/>
    <w:rsid w:val="00343177"/>
    <w:rsid w:val="003443A8"/>
    <w:rsid w:val="0034554C"/>
    <w:rsid w:val="00345ACB"/>
    <w:rsid w:val="003466FF"/>
    <w:rsid w:val="003477D0"/>
    <w:rsid w:val="00347E41"/>
    <w:rsid w:val="003563D2"/>
    <w:rsid w:val="0036265D"/>
    <w:rsid w:val="00363C03"/>
    <w:rsid w:val="00364F8B"/>
    <w:rsid w:val="00374135"/>
    <w:rsid w:val="00376FA5"/>
    <w:rsid w:val="00380738"/>
    <w:rsid w:val="00385FE3"/>
    <w:rsid w:val="00390C29"/>
    <w:rsid w:val="00391103"/>
    <w:rsid w:val="00392B94"/>
    <w:rsid w:val="0039607C"/>
    <w:rsid w:val="003A1479"/>
    <w:rsid w:val="003A1813"/>
    <w:rsid w:val="003B7D82"/>
    <w:rsid w:val="003C033A"/>
    <w:rsid w:val="003C4644"/>
    <w:rsid w:val="003C5530"/>
    <w:rsid w:val="003C5BE3"/>
    <w:rsid w:val="003C6315"/>
    <w:rsid w:val="003D29E1"/>
    <w:rsid w:val="003E74BC"/>
    <w:rsid w:val="003F14DC"/>
    <w:rsid w:val="003F19AA"/>
    <w:rsid w:val="003F3841"/>
    <w:rsid w:val="003F4C9A"/>
    <w:rsid w:val="003F61EE"/>
    <w:rsid w:val="003F64CA"/>
    <w:rsid w:val="00403297"/>
    <w:rsid w:val="00413A7C"/>
    <w:rsid w:val="00413FE1"/>
    <w:rsid w:val="004141DD"/>
    <w:rsid w:val="0042308F"/>
    <w:rsid w:val="00426A18"/>
    <w:rsid w:val="00432246"/>
    <w:rsid w:val="004364E4"/>
    <w:rsid w:val="0044064F"/>
    <w:rsid w:val="00446EAC"/>
    <w:rsid w:val="00447199"/>
    <w:rsid w:val="00461804"/>
    <w:rsid w:val="004620E0"/>
    <w:rsid w:val="00463AD5"/>
    <w:rsid w:val="00466810"/>
    <w:rsid w:val="0047087C"/>
    <w:rsid w:val="00475B33"/>
    <w:rsid w:val="0047650D"/>
    <w:rsid w:val="004816B5"/>
    <w:rsid w:val="004825C7"/>
    <w:rsid w:val="0048278C"/>
    <w:rsid w:val="00483DD2"/>
    <w:rsid w:val="00490BD7"/>
    <w:rsid w:val="00494E6F"/>
    <w:rsid w:val="004A191F"/>
    <w:rsid w:val="004A19F7"/>
    <w:rsid w:val="004A1B4D"/>
    <w:rsid w:val="004A58DD"/>
    <w:rsid w:val="004A6119"/>
    <w:rsid w:val="004B2FC7"/>
    <w:rsid w:val="004B4333"/>
    <w:rsid w:val="004B47DC"/>
    <w:rsid w:val="004C04F1"/>
    <w:rsid w:val="004C08A0"/>
    <w:rsid w:val="004C2AA0"/>
    <w:rsid w:val="004C4027"/>
    <w:rsid w:val="004C45D1"/>
    <w:rsid w:val="004C5480"/>
    <w:rsid w:val="004C6252"/>
    <w:rsid w:val="004D44FC"/>
    <w:rsid w:val="004D5291"/>
    <w:rsid w:val="004D5300"/>
    <w:rsid w:val="004D5320"/>
    <w:rsid w:val="004E1223"/>
    <w:rsid w:val="004E163D"/>
    <w:rsid w:val="004E2555"/>
    <w:rsid w:val="004E5EEC"/>
    <w:rsid w:val="004E75B3"/>
    <w:rsid w:val="004F04BA"/>
    <w:rsid w:val="004F0EFF"/>
    <w:rsid w:val="004F1327"/>
    <w:rsid w:val="004F33A6"/>
    <w:rsid w:val="004F3A73"/>
    <w:rsid w:val="004F6003"/>
    <w:rsid w:val="0050093F"/>
    <w:rsid w:val="00500C72"/>
    <w:rsid w:val="0050161B"/>
    <w:rsid w:val="00514788"/>
    <w:rsid w:val="00520F08"/>
    <w:rsid w:val="0052551B"/>
    <w:rsid w:val="00526D9E"/>
    <w:rsid w:val="00531578"/>
    <w:rsid w:val="00536EBA"/>
    <w:rsid w:val="00541F2E"/>
    <w:rsid w:val="0054371B"/>
    <w:rsid w:val="005441D4"/>
    <w:rsid w:val="005454E8"/>
    <w:rsid w:val="00551514"/>
    <w:rsid w:val="005518DB"/>
    <w:rsid w:val="005544CF"/>
    <w:rsid w:val="00555B93"/>
    <w:rsid w:val="005608FD"/>
    <w:rsid w:val="005618B0"/>
    <w:rsid w:val="00564CC2"/>
    <w:rsid w:val="0056615E"/>
    <w:rsid w:val="005666F2"/>
    <w:rsid w:val="00575EFD"/>
    <w:rsid w:val="0058342A"/>
    <w:rsid w:val="00585622"/>
    <w:rsid w:val="005869C0"/>
    <w:rsid w:val="005909E6"/>
    <w:rsid w:val="00591912"/>
    <w:rsid w:val="00591A1C"/>
    <w:rsid w:val="005A0678"/>
    <w:rsid w:val="005B2042"/>
    <w:rsid w:val="005B28C2"/>
    <w:rsid w:val="005B2DDF"/>
    <w:rsid w:val="005B41F3"/>
    <w:rsid w:val="005B4AE7"/>
    <w:rsid w:val="005B53B0"/>
    <w:rsid w:val="005B7092"/>
    <w:rsid w:val="005C78E0"/>
    <w:rsid w:val="005D0F24"/>
    <w:rsid w:val="005D3057"/>
    <w:rsid w:val="005D4207"/>
    <w:rsid w:val="005D45B3"/>
    <w:rsid w:val="005D4DE6"/>
    <w:rsid w:val="005D68BD"/>
    <w:rsid w:val="005D7E7E"/>
    <w:rsid w:val="005F3440"/>
    <w:rsid w:val="005F6005"/>
    <w:rsid w:val="005F6623"/>
    <w:rsid w:val="005F6838"/>
    <w:rsid w:val="006021DF"/>
    <w:rsid w:val="00605CE7"/>
    <w:rsid w:val="006064AB"/>
    <w:rsid w:val="006116BA"/>
    <w:rsid w:val="006130CC"/>
    <w:rsid w:val="006179ED"/>
    <w:rsid w:val="006229CF"/>
    <w:rsid w:val="00622BB5"/>
    <w:rsid w:val="00624EA9"/>
    <w:rsid w:val="00630129"/>
    <w:rsid w:val="00630EFC"/>
    <w:rsid w:val="00635241"/>
    <w:rsid w:val="00640A26"/>
    <w:rsid w:val="00655345"/>
    <w:rsid w:val="00657B22"/>
    <w:rsid w:val="00657B95"/>
    <w:rsid w:val="00661827"/>
    <w:rsid w:val="00661FBE"/>
    <w:rsid w:val="00664C2E"/>
    <w:rsid w:val="00671966"/>
    <w:rsid w:val="00671F87"/>
    <w:rsid w:val="00672536"/>
    <w:rsid w:val="00680920"/>
    <w:rsid w:val="00681EDC"/>
    <w:rsid w:val="0068361B"/>
    <w:rsid w:val="00684C64"/>
    <w:rsid w:val="0068649F"/>
    <w:rsid w:val="00687162"/>
    <w:rsid w:val="00687189"/>
    <w:rsid w:val="006900BD"/>
    <w:rsid w:val="00695312"/>
    <w:rsid w:val="006976D1"/>
    <w:rsid w:val="00697CCC"/>
    <w:rsid w:val="006B13B7"/>
    <w:rsid w:val="006B2299"/>
    <w:rsid w:val="006B2942"/>
    <w:rsid w:val="006B3994"/>
    <w:rsid w:val="006C0E45"/>
    <w:rsid w:val="006C34C3"/>
    <w:rsid w:val="006C55BF"/>
    <w:rsid w:val="006D2131"/>
    <w:rsid w:val="006D39C4"/>
    <w:rsid w:val="006D4829"/>
    <w:rsid w:val="006D4C04"/>
    <w:rsid w:val="006E356D"/>
    <w:rsid w:val="006E370E"/>
    <w:rsid w:val="006E5CD1"/>
    <w:rsid w:val="006E6318"/>
    <w:rsid w:val="006F2890"/>
    <w:rsid w:val="006F29E8"/>
    <w:rsid w:val="006F331D"/>
    <w:rsid w:val="006F3B38"/>
    <w:rsid w:val="006F548D"/>
    <w:rsid w:val="00701E4C"/>
    <w:rsid w:val="00704EE7"/>
    <w:rsid w:val="007124DA"/>
    <w:rsid w:val="007137A4"/>
    <w:rsid w:val="0071469D"/>
    <w:rsid w:val="00716D72"/>
    <w:rsid w:val="00721A67"/>
    <w:rsid w:val="007220E5"/>
    <w:rsid w:val="007225DF"/>
    <w:rsid w:val="00724489"/>
    <w:rsid w:val="00727098"/>
    <w:rsid w:val="00734FE5"/>
    <w:rsid w:val="007371AC"/>
    <w:rsid w:val="007371E4"/>
    <w:rsid w:val="007421F0"/>
    <w:rsid w:val="0074281F"/>
    <w:rsid w:val="00745873"/>
    <w:rsid w:val="0074778B"/>
    <w:rsid w:val="00752318"/>
    <w:rsid w:val="00753F0D"/>
    <w:rsid w:val="00755469"/>
    <w:rsid w:val="00761AD8"/>
    <w:rsid w:val="00764B3B"/>
    <w:rsid w:val="007655C9"/>
    <w:rsid w:val="007658D0"/>
    <w:rsid w:val="007715C1"/>
    <w:rsid w:val="0077225E"/>
    <w:rsid w:val="00776DA1"/>
    <w:rsid w:val="0077759A"/>
    <w:rsid w:val="00780009"/>
    <w:rsid w:val="007911B3"/>
    <w:rsid w:val="007911FF"/>
    <w:rsid w:val="00793F48"/>
    <w:rsid w:val="007A4B74"/>
    <w:rsid w:val="007B038E"/>
    <w:rsid w:val="007B35B2"/>
    <w:rsid w:val="007B36AD"/>
    <w:rsid w:val="007B388A"/>
    <w:rsid w:val="007C2E1E"/>
    <w:rsid w:val="007C76DC"/>
    <w:rsid w:val="007D0FFC"/>
    <w:rsid w:val="007D199D"/>
    <w:rsid w:val="007D1FFF"/>
    <w:rsid w:val="007D347E"/>
    <w:rsid w:val="007D3F05"/>
    <w:rsid w:val="007D42A0"/>
    <w:rsid w:val="007D45A7"/>
    <w:rsid w:val="007E14D6"/>
    <w:rsid w:val="007E685C"/>
    <w:rsid w:val="007E7694"/>
    <w:rsid w:val="007F1E1F"/>
    <w:rsid w:val="007F25CD"/>
    <w:rsid w:val="007F443B"/>
    <w:rsid w:val="007F6108"/>
    <w:rsid w:val="007F7097"/>
    <w:rsid w:val="007F7193"/>
    <w:rsid w:val="008017AB"/>
    <w:rsid w:val="008067A6"/>
    <w:rsid w:val="00806CFC"/>
    <w:rsid w:val="008100F4"/>
    <w:rsid w:val="00810AF0"/>
    <w:rsid w:val="00811F0D"/>
    <w:rsid w:val="00814C62"/>
    <w:rsid w:val="008154DC"/>
    <w:rsid w:val="00816F45"/>
    <w:rsid w:val="008251B3"/>
    <w:rsid w:val="008267E6"/>
    <w:rsid w:val="00827930"/>
    <w:rsid w:val="00830395"/>
    <w:rsid w:val="008422E5"/>
    <w:rsid w:val="00844F1D"/>
    <w:rsid w:val="00845BB1"/>
    <w:rsid w:val="0084749F"/>
    <w:rsid w:val="008560E8"/>
    <w:rsid w:val="00864202"/>
    <w:rsid w:val="0087673B"/>
    <w:rsid w:val="008767E5"/>
    <w:rsid w:val="008849C2"/>
    <w:rsid w:val="00886277"/>
    <w:rsid w:val="008A400C"/>
    <w:rsid w:val="008B2BFB"/>
    <w:rsid w:val="008B4F2B"/>
    <w:rsid w:val="008B5443"/>
    <w:rsid w:val="008C7EEB"/>
    <w:rsid w:val="008D0DEF"/>
    <w:rsid w:val="008D2256"/>
    <w:rsid w:val="008D5E3D"/>
    <w:rsid w:val="008F1879"/>
    <w:rsid w:val="008F22FE"/>
    <w:rsid w:val="008F4DD5"/>
    <w:rsid w:val="008F5887"/>
    <w:rsid w:val="008F6C1F"/>
    <w:rsid w:val="008F72E7"/>
    <w:rsid w:val="008F7D77"/>
    <w:rsid w:val="00904056"/>
    <w:rsid w:val="0090565A"/>
    <w:rsid w:val="00905E8F"/>
    <w:rsid w:val="0090737A"/>
    <w:rsid w:val="0091275A"/>
    <w:rsid w:val="00924A48"/>
    <w:rsid w:val="00925156"/>
    <w:rsid w:val="00935D54"/>
    <w:rsid w:val="00936E7D"/>
    <w:rsid w:val="0094059E"/>
    <w:rsid w:val="009440E4"/>
    <w:rsid w:val="00951DC8"/>
    <w:rsid w:val="00954682"/>
    <w:rsid w:val="00954A98"/>
    <w:rsid w:val="009556AA"/>
    <w:rsid w:val="00955E2F"/>
    <w:rsid w:val="009565C0"/>
    <w:rsid w:val="00961058"/>
    <w:rsid w:val="0096108C"/>
    <w:rsid w:val="00963BA0"/>
    <w:rsid w:val="00967764"/>
    <w:rsid w:val="00970F61"/>
    <w:rsid w:val="009810EE"/>
    <w:rsid w:val="009830EE"/>
    <w:rsid w:val="009849B6"/>
    <w:rsid w:val="00984CC9"/>
    <w:rsid w:val="00986EE9"/>
    <w:rsid w:val="00987F19"/>
    <w:rsid w:val="0099233F"/>
    <w:rsid w:val="00996552"/>
    <w:rsid w:val="009969A1"/>
    <w:rsid w:val="009A0B73"/>
    <w:rsid w:val="009A1A27"/>
    <w:rsid w:val="009A3DC7"/>
    <w:rsid w:val="009A5C96"/>
    <w:rsid w:val="009A66AE"/>
    <w:rsid w:val="009A7433"/>
    <w:rsid w:val="009B06EA"/>
    <w:rsid w:val="009B1A65"/>
    <w:rsid w:val="009B4467"/>
    <w:rsid w:val="009B54A0"/>
    <w:rsid w:val="009C2BBF"/>
    <w:rsid w:val="009C2E3C"/>
    <w:rsid w:val="009C6405"/>
    <w:rsid w:val="009D0015"/>
    <w:rsid w:val="009D12CE"/>
    <w:rsid w:val="009E76E7"/>
    <w:rsid w:val="00A01A08"/>
    <w:rsid w:val="00A02ACE"/>
    <w:rsid w:val="00A02D46"/>
    <w:rsid w:val="00A02EE3"/>
    <w:rsid w:val="00A05381"/>
    <w:rsid w:val="00A06A05"/>
    <w:rsid w:val="00A130A0"/>
    <w:rsid w:val="00A13E16"/>
    <w:rsid w:val="00A1618A"/>
    <w:rsid w:val="00A202DC"/>
    <w:rsid w:val="00A23733"/>
    <w:rsid w:val="00A25DD4"/>
    <w:rsid w:val="00A30799"/>
    <w:rsid w:val="00A334C3"/>
    <w:rsid w:val="00A35465"/>
    <w:rsid w:val="00A52102"/>
    <w:rsid w:val="00A57FE8"/>
    <w:rsid w:val="00A64ECE"/>
    <w:rsid w:val="00A66185"/>
    <w:rsid w:val="00A71CAD"/>
    <w:rsid w:val="00A728A5"/>
    <w:rsid w:val="00A731A2"/>
    <w:rsid w:val="00A73698"/>
    <w:rsid w:val="00A75EA5"/>
    <w:rsid w:val="00A827C1"/>
    <w:rsid w:val="00A82A78"/>
    <w:rsid w:val="00A847DA"/>
    <w:rsid w:val="00A8540E"/>
    <w:rsid w:val="00A8641A"/>
    <w:rsid w:val="00A87ADF"/>
    <w:rsid w:val="00A91569"/>
    <w:rsid w:val="00A93F40"/>
    <w:rsid w:val="00A96F93"/>
    <w:rsid w:val="00AA0A82"/>
    <w:rsid w:val="00AA349A"/>
    <w:rsid w:val="00AA7AA0"/>
    <w:rsid w:val="00AB16AF"/>
    <w:rsid w:val="00AB3BF6"/>
    <w:rsid w:val="00AE038C"/>
    <w:rsid w:val="00AE3E98"/>
    <w:rsid w:val="00AE5772"/>
    <w:rsid w:val="00AE7EC6"/>
    <w:rsid w:val="00AF22AD"/>
    <w:rsid w:val="00AF3185"/>
    <w:rsid w:val="00AF5107"/>
    <w:rsid w:val="00B03C05"/>
    <w:rsid w:val="00B060C6"/>
    <w:rsid w:val="00B06264"/>
    <w:rsid w:val="00B06B79"/>
    <w:rsid w:val="00B07C8F"/>
    <w:rsid w:val="00B07E28"/>
    <w:rsid w:val="00B205D7"/>
    <w:rsid w:val="00B230DA"/>
    <w:rsid w:val="00B2395D"/>
    <w:rsid w:val="00B24C18"/>
    <w:rsid w:val="00B25A8A"/>
    <w:rsid w:val="00B275D4"/>
    <w:rsid w:val="00B31F41"/>
    <w:rsid w:val="00B31F60"/>
    <w:rsid w:val="00B36F81"/>
    <w:rsid w:val="00B37C56"/>
    <w:rsid w:val="00B40984"/>
    <w:rsid w:val="00B4310D"/>
    <w:rsid w:val="00B4334B"/>
    <w:rsid w:val="00B50019"/>
    <w:rsid w:val="00B51697"/>
    <w:rsid w:val="00B6267D"/>
    <w:rsid w:val="00B75051"/>
    <w:rsid w:val="00B80501"/>
    <w:rsid w:val="00B82C8C"/>
    <w:rsid w:val="00B859DE"/>
    <w:rsid w:val="00B87342"/>
    <w:rsid w:val="00B9179A"/>
    <w:rsid w:val="00BA0B53"/>
    <w:rsid w:val="00BA23A4"/>
    <w:rsid w:val="00BA76B2"/>
    <w:rsid w:val="00BB1D76"/>
    <w:rsid w:val="00BB78E1"/>
    <w:rsid w:val="00BC565C"/>
    <w:rsid w:val="00BD0E59"/>
    <w:rsid w:val="00BE4816"/>
    <w:rsid w:val="00BE56D8"/>
    <w:rsid w:val="00BF0C67"/>
    <w:rsid w:val="00BF4369"/>
    <w:rsid w:val="00BF74DA"/>
    <w:rsid w:val="00C12D2F"/>
    <w:rsid w:val="00C13A75"/>
    <w:rsid w:val="00C177A0"/>
    <w:rsid w:val="00C20238"/>
    <w:rsid w:val="00C277A8"/>
    <w:rsid w:val="00C309AE"/>
    <w:rsid w:val="00C3109F"/>
    <w:rsid w:val="00C32E65"/>
    <w:rsid w:val="00C35526"/>
    <w:rsid w:val="00C356DB"/>
    <w:rsid w:val="00C365CE"/>
    <w:rsid w:val="00C417EB"/>
    <w:rsid w:val="00C42564"/>
    <w:rsid w:val="00C433F5"/>
    <w:rsid w:val="00C5160C"/>
    <w:rsid w:val="00C517F9"/>
    <w:rsid w:val="00C528AE"/>
    <w:rsid w:val="00C53B84"/>
    <w:rsid w:val="00C53D35"/>
    <w:rsid w:val="00C5767B"/>
    <w:rsid w:val="00C61688"/>
    <w:rsid w:val="00C6250F"/>
    <w:rsid w:val="00C669F6"/>
    <w:rsid w:val="00C76824"/>
    <w:rsid w:val="00C777BF"/>
    <w:rsid w:val="00C803B7"/>
    <w:rsid w:val="00C8304A"/>
    <w:rsid w:val="00C84C56"/>
    <w:rsid w:val="00C860D7"/>
    <w:rsid w:val="00C92AAD"/>
    <w:rsid w:val="00C95855"/>
    <w:rsid w:val="00CA070E"/>
    <w:rsid w:val="00CA2B75"/>
    <w:rsid w:val="00CA33A6"/>
    <w:rsid w:val="00CA583D"/>
    <w:rsid w:val="00CA7AB1"/>
    <w:rsid w:val="00CA7BB4"/>
    <w:rsid w:val="00CA7E70"/>
    <w:rsid w:val="00CB02C9"/>
    <w:rsid w:val="00CB5995"/>
    <w:rsid w:val="00CC34AD"/>
    <w:rsid w:val="00CC7168"/>
    <w:rsid w:val="00CD1232"/>
    <w:rsid w:val="00CE0B95"/>
    <w:rsid w:val="00CE45B0"/>
    <w:rsid w:val="00CF2A8F"/>
    <w:rsid w:val="00CF625F"/>
    <w:rsid w:val="00CF63BA"/>
    <w:rsid w:val="00CF7B73"/>
    <w:rsid w:val="00D0014D"/>
    <w:rsid w:val="00D0215C"/>
    <w:rsid w:val="00D02305"/>
    <w:rsid w:val="00D101D5"/>
    <w:rsid w:val="00D103AA"/>
    <w:rsid w:val="00D17C70"/>
    <w:rsid w:val="00D22819"/>
    <w:rsid w:val="00D247F6"/>
    <w:rsid w:val="00D24FB1"/>
    <w:rsid w:val="00D27CDB"/>
    <w:rsid w:val="00D36FBD"/>
    <w:rsid w:val="00D511F0"/>
    <w:rsid w:val="00D54EE5"/>
    <w:rsid w:val="00D55341"/>
    <w:rsid w:val="00D63F82"/>
    <w:rsid w:val="00D640FC"/>
    <w:rsid w:val="00D64206"/>
    <w:rsid w:val="00D67CAB"/>
    <w:rsid w:val="00D70F7D"/>
    <w:rsid w:val="00D72E9E"/>
    <w:rsid w:val="00D73486"/>
    <w:rsid w:val="00D809BC"/>
    <w:rsid w:val="00D80D0A"/>
    <w:rsid w:val="00D817C7"/>
    <w:rsid w:val="00D8567E"/>
    <w:rsid w:val="00D85AC5"/>
    <w:rsid w:val="00D87777"/>
    <w:rsid w:val="00D9077F"/>
    <w:rsid w:val="00D92929"/>
    <w:rsid w:val="00D93524"/>
    <w:rsid w:val="00D93C2E"/>
    <w:rsid w:val="00D9453C"/>
    <w:rsid w:val="00D970A5"/>
    <w:rsid w:val="00DA212A"/>
    <w:rsid w:val="00DA42F9"/>
    <w:rsid w:val="00DA4811"/>
    <w:rsid w:val="00DA4E9C"/>
    <w:rsid w:val="00DB2D00"/>
    <w:rsid w:val="00DB4967"/>
    <w:rsid w:val="00DC1AAA"/>
    <w:rsid w:val="00DC1BD8"/>
    <w:rsid w:val="00DD088B"/>
    <w:rsid w:val="00DD42E8"/>
    <w:rsid w:val="00DE4158"/>
    <w:rsid w:val="00DE50CB"/>
    <w:rsid w:val="00DE618A"/>
    <w:rsid w:val="00DF71A2"/>
    <w:rsid w:val="00E048A7"/>
    <w:rsid w:val="00E05965"/>
    <w:rsid w:val="00E06463"/>
    <w:rsid w:val="00E07E43"/>
    <w:rsid w:val="00E10972"/>
    <w:rsid w:val="00E12B1B"/>
    <w:rsid w:val="00E15379"/>
    <w:rsid w:val="00E206AE"/>
    <w:rsid w:val="00E23397"/>
    <w:rsid w:val="00E24D06"/>
    <w:rsid w:val="00E304B4"/>
    <w:rsid w:val="00E32CD7"/>
    <w:rsid w:val="00E32EEC"/>
    <w:rsid w:val="00E3375F"/>
    <w:rsid w:val="00E377C8"/>
    <w:rsid w:val="00E41BD2"/>
    <w:rsid w:val="00E43FD8"/>
    <w:rsid w:val="00E4486F"/>
    <w:rsid w:val="00E44EE1"/>
    <w:rsid w:val="00E45395"/>
    <w:rsid w:val="00E5241D"/>
    <w:rsid w:val="00E5680C"/>
    <w:rsid w:val="00E61A16"/>
    <w:rsid w:val="00E62361"/>
    <w:rsid w:val="00E63D4E"/>
    <w:rsid w:val="00E70B78"/>
    <w:rsid w:val="00E7255B"/>
    <w:rsid w:val="00E76267"/>
    <w:rsid w:val="00E76608"/>
    <w:rsid w:val="00E83C6F"/>
    <w:rsid w:val="00E90F09"/>
    <w:rsid w:val="00E91287"/>
    <w:rsid w:val="00E918BA"/>
    <w:rsid w:val="00E93794"/>
    <w:rsid w:val="00EA535B"/>
    <w:rsid w:val="00EB1F0F"/>
    <w:rsid w:val="00EC0F85"/>
    <w:rsid w:val="00EC24AF"/>
    <w:rsid w:val="00EC579D"/>
    <w:rsid w:val="00EC5A13"/>
    <w:rsid w:val="00ED049A"/>
    <w:rsid w:val="00ED3F20"/>
    <w:rsid w:val="00ED5BDC"/>
    <w:rsid w:val="00ED75BE"/>
    <w:rsid w:val="00ED7DAC"/>
    <w:rsid w:val="00EE1877"/>
    <w:rsid w:val="00EE1CA5"/>
    <w:rsid w:val="00EE756C"/>
    <w:rsid w:val="00EF3A49"/>
    <w:rsid w:val="00EF7D8D"/>
    <w:rsid w:val="00F00849"/>
    <w:rsid w:val="00F067A6"/>
    <w:rsid w:val="00F15D71"/>
    <w:rsid w:val="00F164F6"/>
    <w:rsid w:val="00F20B25"/>
    <w:rsid w:val="00F22138"/>
    <w:rsid w:val="00F24D05"/>
    <w:rsid w:val="00F258FD"/>
    <w:rsid w:val="00F261F0"/>
    <w:rsid w:val="00F318BD"/>
    <w:rsid w:val="00F33674"/>
    <w:rsid w:val="00F42E3A"/>
    <w:rsid w:val="00F6052E"/>
    <w:rsid w:val="00F616DB"/>
    <w:rsid w:val="00F631F3"/>
    <w:rsid w:val="00F709BB"/>
    <w:rsid w:val="00F70C03"/>
    <w:rsid w:val="00F70C76"/>
    <w:rsid w:val="00F7306C"/>
    <w:rsid w:val="00F768D3"/>
    <w:rsid w:val="00F80319"/>
    <w:rsid w:val="00F8288F"/>
    <w:rsid w:val="00F9084A"/>
    <w:rsid w:val="00FA179F"/>
    <w:rsid w:val="00FA5E91"/>
    <w:rsid w:val="00FA67A8"/>
    <w:rsid w:val="00FA7067"/>
    <w:rsid w:val="00FB493E"/>
    <w:rsid w:val="00FB4FEA"/>
    <w:rsid w:val="00FB6E40"/>
    <w:rsid w:val="00FC0473"/>
    <w:rsid w:val="00FC6A8E"/>
    <w:rsid w:val="00FC7361"/>
    <w:rsid w:val="00FD178A"/>
    <w:rsid w:val="00FD1CCB"/>
    <w:rsid w:val="00FD25D4"/>
    <w:rsid w:val="00FD7A7E"/>
    <w:rsid w:val="00FE0DA4"/>
    <w:rsid w:val="00FE1781"/>
    <w:rsid w:val="00FE3326"/>
    <w:rsid w:val="00FF07BD"/>
    <w:rsid w:val="00FF0BC4"/>
    <w:rsid w:val="00FF2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1D2DE2"/>
  <w15:docId w15:val="{3F63C186-2125-4934-808B-AE90E540D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2E6A"/>
    <w:pPr>
      <w:spacing w:before="200" w:after="200"/>
    </w:pPr>
    <w:rPr>
      <w:sz w:val="24"/>
    </w:rPr>
  </w:style>
  <w:style w:type="paragraph" w:styleId="Heading1">
    <w:name w:val="heading 1"/>
    <w:basedOn w:val="Normal"/>
    <w:next w:val="Normal"/>
    <w:link w:val="Heading1Char"/>
    <w:uiPriority w:val="1"/>
    <w:qFormat/>
    <w:rsid w:val="00E12B1B"/>
    <w:pPr>
      <w:keepNext/>
      <w:keepLines/>
      <w:pBdr>
        <w:top w:val="single" w:sz="4" w:space="12" w:color="auto"/>
      </w:pBdr>
      <w:tabs>
        <w:tab w:val="left" w:pos="3345"/>
      </w:tabs>
      <w:spacing w:before="240" w:after="120"/>
      <w:jc w:val="right"/>
      <w:outlineLvl w:val="0"/>
    </w:pPr>
    <w:rPr>
      <w:b/>
      <w:color w:val="003865"/>
      <w:sz w:val="48"/>
      <w:szCs w:val="48"/>
    </w:rPr>
  </w:style>
  <w:style w:type="paragraph" w:styleId="Heading2">
    <w:name w:val="heading 2"/>
    <w:next w:val="Normal"/>
    <w:link w:val="Heading2Char"/>
    <w:uiPriority w:val="1"/>
    <w:qFormat/>
    <w:rsid w:val="00EE756C"/>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B4310D"/>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1"/>
    <w:qFormat/>
    <w:rsid w:val="00C53D35"/>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1"/>
    <w:unhideWhenUsed/>
    <w:rsid w:val="003C033A"/>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3C033A"/>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1E5ECF"/>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1E5ECF"/>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1E5ECF"/>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12B1B"/>
    <w:rPr>
      <w:b/>
      <w:color w:val="003865"/>
      <w:sz w:val="48"/>
      <w:szCs w:val="48"/>
    </w:rPr>
  </w:style>
  <w:style w:type="character" w:customStyle="1" w:styleId="Heading2Char">
    <w:name w:val="Heading 2 Char"/>
    <w:basedOn w:val="DefaultParagraphFont"/>
    <w:link w:val="Heading2"/>
    <w:uiPriority w:val="1"/>
    <w:rsid w:val="00EE756C"/>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B4310D"/>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1"/>
    <w:rsid w:val="00C53D35"/>
    <w:rPr>
      <w:rFonts w:eastAsiaTheme="majorEastAsia" w:cstheme="majorBidi"/>
      <w:b/>
      <w:bCs/>
      <w:iCs/>
      <w:color w:val="003865" w:themeColor="accent1"/>
      <w:sz w:val="24"/>
      <w:szCs w:val="24"/>
    </w:rPr>
  </w:style>
  <w:style w:type="character" w:customStyle="1" w:styleId="Heading5Char">
    <w:name w:val="Heading 5 Char"/>
    <w:basedOn w:val="DefaultParagraphFont"/>
    <w:link w:val="Heading5"/>
    <w:uiPriority w:val="1"/>
    <w:rsid w:val="003C033A"/>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3C033A"/>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8D5E3D"/>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8D5E3D"/>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8D5E3D"/>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uiPriority w:val="2"/>
    <w:qFormat/>
    <w:rsid w:val="00EE756C"/>
    <w:rPr>
      <w:i/>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IntenseEmphasis">
    <w:name w:val="Intense Emphasis"/>
    <w:basedOn w:val="DefaultParagraphFont"/>
    <w:uiPriority w:val="2"/>
    <w:qFormat/>
    <w:rsid w:val="00EE756C"/>
    <w:rPr>
      <w:b/>
      <w:i/>
      <w:iCs/>
      <w:color w:val="auto"/>
    </w:rPr>
  </w:style>
  <w:style w:type="paragraph" w:styleId="IntenseQuote">
    <w:name w:val="Intense Quote"/>
    <w:basedOn w:val="Normal"/>
    <w:next w:val="Normal"/>
    <w:link w:val="IntenseQuoteChar"/>
    <w:uiPriority w:val="30"/>
    <w:qFormat/>
    <w:rsid w:val="00CF63BA"/>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CF63BA"/>
    <w:rPr>
      <w:rFonts w:asciiTheme="minorHAnsi" w:hAnsiTheme="minorHAnsi"/>
      <w:i/>
      <w:iCs/>
      <w:color w:val="003865" w:themeColor="accent1"/>
      <w:sz w:val="26"/>
      <w:lang w:bidi="ar-SA"/>
    </w:rPr>
  </w:style>
  <w:style w:type="paragraph" w:styleId="ListNumber">
    <w:name w:val="List Number"/>
    <w:basedOn w:val="Normal"/>
    <w:semiHidden/>
    <w:rsid w:val="00D247F6"/>
    <w:pPr>
      <w:numPr>
        <w:numId w:val="1"/>
      </w:numPr>
    </w:pPr>
  </w:style>
  <w:style w:type="paragraph" w:styleId="Quote">
    <w:name w:val="Quote"/>
    <w:basedOn w:val="Normal"/>
    <w:next w:val="Normal"/>
    <w:link w:val="QuoteChar"/>
    <w:uiPriority w:val="29"/>
    <w:qFormat/>
    <w:rsid w:val="00EE756C"/>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EE756C"/>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A73698"/>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Footer">
    <w:name w:val="footer"/>
    <w:link w:val="FooterChar"/>
    <w:uiPriority w:val="99"/>
    <w:qFormat/>
    <w:rsid w:val="00EE756C"/>
    <w:pPr>
      <w:tabs>
        <w:tab w:val="right" w:pos="10080"/>
      </w:tabs>
      <w:spacing w:before="0" w:line="336" w:lineRule="auto"/>
    </w:pPr>
  </w:style>
  <w:style w:type="character" w:customStyle="1" w:styleId="FooterChar">
    <w:name w:val="Footer Char"/>
    <w:basedOn w:val="DefaultParagraphFont"/>
    <w:link w:val="Footer"/>
    <w:uiPriority w:val="99"/>
    <w:rsid w:val="00EE756C"/>
  </w:style>
  <w:style w:type="paragraph" w:customStyle="1" w:styleId="Boldcharacter">
    <w:name w:val="Bold character"/>
    <w:basedOn w:val="Normal"/>
    <w:link w:val="BoldcharacterChar"/>
    <w:autoRedefine/>
    <w:semiHidden/>
    <w:qFormat/>
    <w:rsid w:val="002F1947"/>
    <w:pPr>
      <w:spacing w:line="280" w:lineRule="exact"/>
      <w:contextualSpacing/>
    </w:pPr>
    <w:rPr>
      <w:b/>
      <w:lang w:val="en-GB"/>
    </w:rPr>
  </w:style>
  <w:style w:type="character" w:customStyle="1" w:styleId="BoldcharacterChar">
    <w:name w:val="Bold character Char"/>
    <w:basedOn w:val="DefaultParagraphFont"/>
    <w:link w:val="Boldcharacter"/>
    <w:semiHidden/>
    <w:rsid w:val="002F1947"/>
    <w:rPr>
      <w:b/>
      <w:sz w:val="22"/>
      <w:szCs w:val="22"/>
      <w:lang w:val="en-GB"/>
    </w:rPr>
  </w:style>
  <w:style w:type="paragraph" w:customStyle="1" w:styleId="BodytextClosingname">
    <w:name w:val="Body text Closing name"/>
    <w:basedOn w:val="Normal"/>
    <w:semiHidden/>
    <w:qFormat/>
    <w:rsid w:val="002F1947"/>
    <w:pPr>
      <w:spacing w:before="1080" w:after="240"/>
      <w:contextualSpacing/>
    </w:pPr>
  </w:style>
  <w:style w:type="paragraph" w:customStyle="1" w:styleId="BodytextDate">
    <w:name w:val="Body text Date"/>
    <w:basedOn w:val="Normal"/>
    <w:semiHidden/>
    <w:qFormat/>
    <w:rsid w:val="002F1947"/>
    <w:pPr>
      <w:spacing w:before="0" w:after="480"/>
      <w:contextualSpacing/>
    </w:pPr>
  </w:style>
  <w:style w:type="paragraph" w:customStyle="1" w:styleId="BodytextSalutation">
    <w:name w:val="Body text Salutation"/>
    <w:basedOn w:val="Normal"/>
    <w:semiHidden/>
    <w:qFormat/>
    <w:rsid w:val="002F1947"/>
    <w:pPr>
      <w:spacing w:before="480" w:after="240"/>
      <w:contextualSpacing/>
    </w:pPr>
  </w:style>
  <w:style w:type="paragraph" w:styleId="Closing">
    <w:name w:val="Closing"/>
    <w:basedOn w:val="Normal"/>
    <w:link w:val="ClosingChar"/>
    <w:semiHidden/>
    <w:qFormat/>
    <w:rsid w:val="002F1947"/>
    <w:pPr>
      <w:spacing w:before="240"/>
    </w:pPr>
  </w:style>
  <w:style w:type="character" w:customStyle="1" w:styleId="ClosingChar">
    <w:name w:val="Closing Char"/>
    <w:basedOn w:val="DefaultParagraphFont"/>
    <w:link w:val="Closing"/>
    <w:semiHidden/>
    <w:rsid w:val="002F1947"/>
    <w:rPr>
      <w:sz w:val="22"/>
    </w:rPr>
  </w:style>
  <w:style w:type="paragraph" w:styleId="BodyText3">
    <w:name w:val="Body Text 3"/>
    <w:link w:val="BodyText3Char"/>
    <w:semiHidden/>
    <w:qFormat/>
    <w:rsid w:val="002F1947"/>
    <w:pPr>
      <w:widowControl w:val="0"/>
    </w:pPr>
    <w:rPr>
      <w:sz w:val="16"/>
      <w:szCs w:val="16"/>
    </w:rPr>
  </w:style>
  <w:style w:type="character" w:customStyle="1" w:styleId="BodyText3Char">
    <w:name w:val="Body Text 3 Char"/>
    <w:basedOn w:val="DefaultParagraphFont"/>
    <w:link w:val="BodyText3"/>
    <w:semiHidden/>
    <w:rsid w:val="002F1947"/>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paragraph" w:styleId="Caption">
    <w:name w:val="caption"/>
    <w:basedOn w:val="Normal"/>
    <w:next w:val="Normal"/>
    <w:uiPriority w:val="29"/>
    <w:qFormat/>
    <w:rsid w:val="00776DA1"/>
    <w:pPr>
      <w:keepNext/>
      <w:spacing w:line="240" w:lineRule="auto"/>
    </w:pPr>
    <w:rPr>
      <w:b/>
      <w:bCs/>
      <w:iCs/>
      <w:color w:val="000000" w:themeColor="text2"/>
      <w:sz w:val="20"/>
      <w:szCs w:val="20"/>
    </w:rPr>
  </w:style>
  <w:style w:type="character" w:styleId="PlaceholderText">
    <w:name w:val="Placeholder Text"/>
    <w:basedOn w:val="DefaultParagraphFont"/>
    <w:uiPriority w:val="99"/>
    <w:semiHidden/>
    <w:rsid w:val="00E76267"/>
    <w:rPr>
      <w:color w:val="808080"/>
    </w:rPr>
  </w:style>
  <w:style w:type="paragraph" w:styleId="NormalWeb">
    <w:name w:val="Normal (Web)"/>
    <w:basedOn w:val="Normal"/>
    <w:uiPriority w:val="99"/>
    <w:unhideWhenUsed/>
    <w:rsid w:val="00963BA0"/>
    <w:pPr>
      <w:spacing w:before="100" w:beforeAutospacing="1" w:after="100" w:afterAutospacing="1" w:line="240" w:lineRule="auto"/>
    </w:pPr>
    <w:rPr>
      <w:rFonts w:ascii="Times New Roman" w:hAnsi="Times New Roman"/>
      <w:szCs w:val="24"/>
      <w:lang w:bidi="ar-SA"/>
    </w:rPr>
  </w:style>
  <w:style w:type="paragraph" w:styleId="ListParagraph">
    <w:name w:val="List Paragraph"/>
    <w:basedOn w:val="Normal"/>
    <w:link w:val="ListParagraphChar"/>
    <w:uiPriority w:val="34"/>
    <w:qFormat/>
    <w:rsid w:val="00EE756C"/>
    <w:pPr>
      <w:numPr>
        <w:numId w:val="2"/>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6021D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021DF"/>
  </w:style>
  <w:style w:type="paragraph" w:styleId="TOC1">
    <w:name w:val="toc 1"/>
    <w:basedOn w:val="Normal"/>
    <w:next w:val="Normal"/>
    <w:autoRedefine/>
    <w:uiPriority w:val="39"/>
    <w:unhideWhenUsed/>
    <w:rsid w:val="008154DC"/>
    <w:pPr>
      <w:tabs>
        <w:tab w:val="left" w:pos="270"/>
        <w:tab w:val="right" w:leader="dot" w:pos="10070"/>
      </w:tabs>
      <w:spacing w:after="100"/>
      <w:ind w:firstLine="180"/>
    </w:pPr>
  </w:style>
  <w:style w:type="paragraph" w:styleId="TOC2">
    <w:name w:val="toc 2"/>
    <w:basedOn w:val="Normal"/>
    <w:next w:val="Normal"/>
    <w:autoRedefine/>
    <w:uiPriority w:val="39"/>
    <w:unhideWhenUsed/>
    <w:rsid w:val="009A7433"/>
    <w:pPr>
      <w:tabs>
        <w:tab w:val="left" w:pos="630"/>
        <w:tab w:val="right" w:leader="dot" w:pos="10070"/>
      </w:tabs>
      <w:spacing w:after="100"/>
      <w:ind w:left="220"/>
    </w:pPr>
  </w:style>
  <w:style w:type="paragraph" w:styleId="TOC3">
    <w:name w:val="toc 3"/>
    <w:basedOn w:val="Normal"/>
    <w:next w:val="Normal"/>
    <w:autoRedefine/>
    <w:uiPriority w:val="39"/>
    <w:unhideWhenUsed/>
    <w:rsid w:val="00AE7EC6"/>
    <w:pPr>
      <w:spacing w:after="100"/>
      <w:ind w:left="440"/>
    </w:pPr>
  </w:style>
  <w:style w:type="character" w:styleId="Hyperlink">
    <w:name w:val="Hyperlink"/>
    <w:basedOn w:val="DefaultParagraphFont"/>
    <w:uiPriority w:val="99"/>
    <w:unhideWhenUsed/>
    <w:rsid w:val="00AE7EC6"/>
    <w:rPr>
      <w:color w:val="0563C1" w:themeColor="hyperlink"/>
      <w:u w:val="single"/>
    </w:rPr>
  </w:style>
  <w:style w:type="paragraph" w:customStyle="1" w:styleId="ReportDate">
    <w:name w:val="Report Date"/>
    <w:basedOn w:val="Normal"/>
    <w:link w:val="ReportDateChar"/>
    <w:qFormat/>
    <w:rsid w:val="00E12B1B"/>
    <w:pPr>
      <w:pBdr>
        <w:bottom w:val="single" w:sz="4" w:space="15" w:color="auto"/>
      </w:pBdr>
      <w:jc w:val="right"/>
    </w:pPr>
    <w:rPr>
      <w:color w:val="003865" w:themeColor="accent1"/>
      <w:sz w:val="28"/>
      <w:szCs w:val="28"/>
    </w:rPr>
  </w:style>
  <w:style w:type="paragraph" w:customStyle="1" w:styleId="ReportSubtitle">
    <w:name w:val="Report Subtitle"/>
    <w:basedOn w:val="Normal"/>
    <w:link w:val="ReportSubtitleChar"/>
    <w:qFormat/>
    <w:rsid w:val="00E12B1B"/>
    <w:pPr>
      <w:jc w:val="right"/>
    </w:pPr>
    <w:rPr>
      <w:color w:val="003865" w:themeColor="accent1"/>
      <w:sz w:val="28"/>
      <w:szCs w:val="28"/>
    </w:rPr>
  </w:style>
  <w:style w:type="character" w:customStyle="1" w:styleId="ReportDateChar">
    <w:name w:val="Report Date Char"/>
    <w:basedOn w:val="DefaultParagraphFont"/>
    <w:link w:val="ReportDate"/>
    <w:rsid w:val="00E12B1B"/>
    <w:rPr>
      <w:color w:val="003865" w:themeColor="accent1"/>
      <w:sz w:val="28"/>
      <w:szCs w:val="28"/>
    </w:rPr>
  </w:style>
  <w:style w:type="character" w:customStyle="1" w:styleId="ReportSubtitleChar">
    <w:name w:val="Report Subtitle Char"/>
    <w:basedOn w:val="DefaultParagraphFont"/>
    <w:link w:val="ReportSubtitle"/>
    <w:rsid w:val="00E12B1B"/>
    <w:rPr>
      <w:color w:val="003865" w:themeColor="accent1"/>
      <w:sz w:val="28"/>
      <w:szCs w:val="28"/>
    </w:rPr>
  </w:style>
  <w:style w:type="paragraph" w:styleId="TOCHeading">
    <w:name w:val="TOC Heading"/>
    <w:basedOn w:val="Heading2"/>
    <w:next w:val="Normal"/>
    <w:uiPriority w:val="39"/>
    <w:unhideWhenUsed/>
    <w:qFormat/>
    <w:rsid w:val="00DA4811"/>
    <w:pPr>
      <w:spacing w:after="0"/>
      <w:outlineLvl w:val="9"/>
    </w:pPr>
    <w:rPr>
      <w:rFonts w:asciiTheme="majorHAnsi" w:hAnsiTheme="majorHAnsi"/>
      <w:b w:val="0"/>
    </w:rPr>
  </w:style>
  <w:style w:type="character" w:customStyle="1" w:styleId="ListParagraphChar">
    <w:name w:val="List Paragraph Char"/>
    <w:basedOn w:val="DefaultParagraphFont"/>
    <w:link w:val="ListParagraph"/>
    <w:uiPriority w:val="34"/>
    <w:rsid w:val="00776DA1"/>
    <w:rPr>
      <w:sz w:val="24"/>
    </w:rPr>
  </w:style>
  <w:style w:type="character" w:styleId="CommentReference">
    <w:name w:val="annotation reference"/>
    <w:basedOn w:val="DefaultParagraphFont"/>
    <w:uiPriority w:val="99"/>
    <w:semiHidden/>
    <w:unhideWhenUsed/>
    <w:rsid w:val="00776DA1"/>
    <w:rPr>
      <w:sz w:val="16"/>
      <w:szCs w:val="16"/>
    </w:rPr>
  </w:style>
  <w:style w:type="paragraph" w:styleId="CommentText">
    <w:name w:val="annotation text"/>
    <w:basedOn w:val="Normal"/>
    <w:link w:val="CommentTextChar"/>
    <w:uiPriority w:val="99"/>
    <w:unhideWhenUsed/>
    <w:rsid w:val="00776DA1"/>
    <w:pPr>
      <w:spacing w:line="240" w:lineRule="auto"/>
    </w:pPr>
    <w:rPr>
      <w:sz w:val="20"/>
      <w:szCs w:val="20"/>
    </w:rPr>
  </w:style>
  <w:style w:type="character" w:customStyle="1" w:styleId="CommentTextChar">
    <w:name w:val="Comment Text Char"/>
    <w:basedOn w:val="DefaultParagraphFont"/>
    <w:link w:val="CommentText"/>
    <w:uiPriority w:val="99"/>
    <w:rsid w:val="00776DA1"/>
    <w:rPr>
      <w:sz w:val="20"/>
      <w:szCs w:val="20"/>
    </w:rPr>
  </w:style>
  <w:style w:type="paragraph" w:customStyle="1" w:styleId="TableText">
    <w:name w:val="Table Text"/>
    <w:basedOn w:val="Normal"/>
    <w:link w:val="TableTextChar"/>
    <w:qFormat/>
    <w:rsid w:val="00042E6A"/>
    <w:pPr>
      <w:spacing w:before="60" w:after="60" w:line="240" w:lineRule="auto"/>
    </w:pPr>
    <w:rPr>
      <w:sz w:val="22"/>
      <w:szCs w:val="20"/>
    </w:rPr>
  </w:style>
  <w:style w:type="character" w:customStyle="1" w:styleId="TableTextChar">
    <w:name w:val="Table Text Char"/>
    <w:basedOn w:val="DefaultParagraphFont"/>
    <w:link w:val="TableText"/>
    <w:rsid w:val="00042E6A"/>
    <w:rPr>
      <w:szCs w:val="20"/>
    </w:rPr>
  </w:style>
  <w:style w:type="paragraph" w:styleId="Title">
    <w:name w:val="Title"/>
    <w:basedOn w:val="Normal"/>
    <w:link w:val="TitleChar"/>
    <w:uiPriority w:val="99"/>
    <w:qFormat/>
    <w:rsid w:val="0036265D"/>
    <w:pPr>
      <w:widowControl w:val="0"/>
      <w:spacing w:before="0" w:after="0" w:line="240" w:lineRule="auto"/>
      <w:jc w:val="center"/>
    </w:pPr>
    <w:rPr>
      <w:rFonts w:ascii="Cambria" w:hAnsi="Cambria"/>
      <w:b/>
      <w:bCs/>
      <w:sz w:val="72"/>
      <w:szCs w:val="72"/>
      <w:lang w:bidi="ar-SA"/>
    </w:rPr>
  </w:style>
  <w:style w:type="character" w:customStyle="1" w:styleId="TitleChar">
    <w:name w:val="Title Char"/>
    <w:basedOn w:val="DefaultParagraphFont"/>
    <w:link w:val="Title"/>
    <w:uiPriority w:val="99"/>
    <w:rsid w:val="0036265D"/>
    <w:rPr>
      <w:rFonts w:ascii="Cambria" w:hAnsi="Cambria"/>
      <w:b/>
      <w:bCs/>
      <w:sz w:val="72"/>
      <w:szCs w:val="72"/>
      <w:lang w:bidi="ar-SA"/>
    </w:rPr>
  </w:style>
  <w:style w:type="paragraph" w:styleId="BodyTextIndent">
    <w:name w:val="Body Text Indent"/>
    <w:basedOn w:val="Normal"/>
    <w:link w:val="BodyTextIndentChar"/>
    <w:uiPriority w:val="99"/>
    <w:rsid w:val="0036265D"/>
    <w:pPr>
      <w:widowControl w:val="0"/>
      <w:spacing w:before="0" w:after="0" w:line="240" w:lineRule="auto"/>
      <w:ind w:left="720" w:hanging="720"/>
    </w:pPr>
    <w:rPr>
      <w:rFonts w:ascii="Cambria" w:hAnsi="Cambria"/>
      <w:sz w:val="22"/>
      <w:szCs w:val="20"/>
      <w:lang w:bidi="ar-SA"/>
    </w:rPr>
  </w:style>
  <w:style w:type="character" w:customStyle="1" w:styleId="BodyTextIndentChar">
    <w:name w:val="Body Text Indent Char"/>
    <w:basedOn w:val="DefaultParagraphFont"/>
    <w:link w:val="BodyTextIndent"/>
    <w:uiPriority w:val="99"/>
    <w:rsid w:val="0036265D"/>
    <w:rPr>
      <w:rFonts w:ascii="Cambria" w:hAnsi="Cambria"/>
      <w:szCs w:val="20"/>
      <w:lang w:bidi="ar-SA"/>
    </w:rPr>
  </w:style>
  <w:style w:type="paragraph" w:customStyle="1" w:styleId="Default">
    <w:name w:val="Default"/>
    <w:rsid w:val="0036265D"/>
    <w:pPr>
      <w:autoSpaceDE w:val="0"/>
      <w:autoSpaceDN w:val="0"/>
      <w:adjustRightInd w:val="0"/>
      <w:spacing w:before="0" w:line="240" w:lineRule="auto"/>
    </w:pPr>
    <w:rPr>
      <w:rFonts w:ascii="Times New Roman" w:eastAsiaTheme="minorHAnsi" w:hAnsi="Times New Roman"/>
      <w:color w:val="000000"/>
      <w:sz w:val="24"/>
      <w:szCs w:val="24"/>
      <w:lang w:bidi="ar-SA"/>
    </w:rPr>
  </w:style>
  <w:style w:type="character" w:styleId="UnresolvedMention">
    <w:name w:val="Unresolved Mention"/>
    <w:basedOn w:val="DefaultParagraphFont"/>
    <w:uiPriority w:val="99"/>
    <w:semiHidden/>
    <w:unhideWhenUsed/>
    <w:rsid w:val="002F7C18"/>
    <w:rPr>
      <w:color w:val="605E5C"/>
      <w:shd w:val="clear" w:color="auto" w:fill="E1DFDD"/>
    </w:rPr>
  </w:style>
  <w:style w:type="character" w:styleId="FollowedHyperlink">
    <w:name w:val="FollowedHyperlink"/>
    <w:basedOn w:val="DefaultParagraphFont"/>
    <w:semiHidden/>
    <w:unhideWhenUsed/>
    <w:rsid w:val="00C8304A"/>
    <w:rPr>
      <w:color w:val="5D295F" w:themeColor="followedHyperlink"/>
      <w:u w:val="single"/>
    </w:rPr>
  </w:style>
  <w:style w:type="paragraph" w:styleId="CommentSubject">
    <w:name w:val="annotation subject"/>
    <w:basedOn w:val="CommentText"/>
    <w:next w:val="CommentText"/>
    <w:link w:val="CommentSubjectChar"/>
    <w:semiHidden/>
    <w:unhideWhenUsed/>
    <w:rsid w:val="00924A48"/>
    <w:rPr>
      <w:b/>
      <w:bCs/>
    </w:rPr>
  </w:style>
  <w:style w:type="character" w:customStyle="1" w:styleId="CommentSubjectChar">
    <w:name w:val="Comment Subject Char"/>
    <w:basedOn w:val="CommentTextChar"/>
    <w:link w:val="CommentSubject"/>
    <w:semiHidden/>
    <w:rsid w:val="00924A48"/>
    <w:rPr>
      <w:b/>
      <w:bCs/>
      <w:sz w:val="20"/>
      <w:szCs w:val="20"/>
    </w:rPr>
  </w:style>
  <w:style w:type="paragraph" w:styleId="Revision">
    <w:name w:val="Revision"/>
    <w:hidden/>
    <w:uiPriority w:val="99"/>
    <w:semiHidden/>
    <w:rsid w:val="003033DC"/>
    <w:pPr>
      <w:spacing w:before="0" w:line="240" w:lineRule="auto"/>
    </w:pPr>
    <w:rPr>
      <w:sz w:val="24"/>
    </w:rPr>
  </w:style>
  <w:style w:type="character" w:customStyle="1" w:styleId="ui-provider">
    <w:name w:val="ui-provider"/>
    <w:basedOn w:val="DefaultParagraphFont"/>
    <w:rsid w:val="00FD178A"/>
  </w:style>
  <w:style w:type="character" w:customStyle="1" w:styleId="cf01">
    <w:name w:val="cf01"/>
    <w:basedOn w:val="DefaultParagraphFont"/>
    <w:rsid w:val="007421F0"/>
    <w:rPr>
      <w:rFonts w:ascii="Segoe UI" w:hAnsi="Segoe UI" w:cs="Segoe UI" w:hint="default"/>
      <w:sz w:val="18"/>
      <w:szCs w:val="18"/>
      <w:shd w:val="clear" w:color="auto" w:fill="FFFF00"/>
    </w:rPr>
  </w:style>
  <w:style w:type="paragraph" w:customStyle="1" w:styleId="pf0">
    <w:name w:val="pf0"/>
    <w:basedOn w:val="Normal"/>
    <w:rsid w:val="00ED75BE"/>
    <w:pPr>
      <w:spacing w:before="100" w:beforeAutospacing="1" w:after="100" w:afterAutospacing="1" w:line="240" w:lineRule="auto"/>
    </w:pPr>
    <w:rPr>
      <w:rFonts w:ascii="Times New Roman" w:hAnsi="Times New Roman"/>
      <w:szCs w:val="24"/>
      <w:lang w:bidi="ar-SA"/>
    </w:rPr>
  </w:style>
  <w:style w:type="character" w:customStyle="1" w:styleId="cf11">
    <w:name w:val="cf11"/>
    <w:basedOn w:val="DefaultParagraphFont"/>
    <w:rsid w:val="00B4334B"/>
    <w:rPr>
      <w:rFonts w:ascii="Segoe UI" w:hAnsi="Segoe UI" w:cs="Segoe UI" w:hint="default"/>
      <w:color w:val="0070C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59002567">
      <w:bodyDiv w:val="1"/>
      <w:marLeft w:val="0"/>
      <w:marRight w:val="0"/>
      <w:marTop w:val="0"/>
      <w:marBottom w:val="0"/>
      <w:divBdr>
        <w:top w:val="none" w:sz="0" w:space="0" w:color="auto"/>
        <w:left w:val="none" w:sz="0" w:space="0" w:color="auto"/>
        <w:bottom w:val="none" w:sz="0" w:space="0" w:color="auto"/>
        <w:right w:val="none" w:sz="0" w:space="0" w:color="auto"/>
      </w:divBdr>
    </w:div>
    <w:div w:id="191116617">
      <w:bodyDiv w:val="1"/>
      <w:marLeft w:val="0"/>
      <w:marRight w:val="0"/>
      <w:marTop w:val="0"/>
      <w:marBottom w:val="0"/>
      <w:divBdr>
        <w:top w:val="none" w:sz="0" w:space="0" w:color="auto"/>
        <w:left w:val="none" w:sz="0" w:space="0" w:color="auto"/>
        <w:bottom w:val="none" w:sz="0" w:space="0" w:color="auto"/>
        <w:right w:val="none" w:sz="0" w:space="0" w:color="auto"/>
      </w:divBdr>
    </w:div>
    <w:div w:id="297229781">
      <w:bodyDiv w:val="1"/>
      <w:marLeft w:val="0"/>
      <w:marRight w:val="0"/>
      <w:marTop w:val="0"/>
      <w:marBottom w:val="0"/>
      <w:divBdr>
        <w:top w:val="none" w:sz="0" w:space="0" w:color="auto"/>
        <w:left w:val="none" w:sz="0" w:space="0" w:color="auto"/>
        <w:bottom w:val="none" w:sz="0" w:space="0" w:color="auto"/>
        <w:right w:val="none" w:sz="0" w:space="0" w:color="auto"/>
      </w:divBdr>
    </w:div>
    <w:div w:id="433863410">
      <w:bodyDiv w:val="1"/>
      <w:marLeft w:val="0"/>
      <w:marRight w:val="0"/>
      <w:marTop w:val="0"/>
      <w:marBottom w:val="0"/>
      <w:divBdr>
        <w:top w:val="none" w:sz="0" w:space="0" w:color="auto"/>
        <w:left w:val="none" w:sz="0" w:space="0" w:color="auto"/>
        <w:bottom w:val="none" w:sz="0" w:space="0" w:color="auto"/>
        <w:right w:val="none" w:sz="0" w:space="0" w:color="auto"/>
      </w:divBdr>
    </w:div>
    <w:div w:id="697658141">
      <w:bodyDiv w:val="1"/>
      <w:marLeft w:val="0"/>
      <w:marRight w:val="0"/>
      <w:marTop w:val="0"/>
      <w:marBottom w:val="0"/>
      <w:divBdr>
        <w:top w:val="none" w:sz="0" w:space="0" w:color="auto"/>
        <w:left w:val="none" w:sz="0" w:space="0" w:color="auto"/>
        <w:bottom w:val="none" w:sz="0" w:space="0" w:color="auto"/>
        <w:right w:val="none" w:sz="0" w:space="0" w:color="auto"/>
      </w:divBdr>
    </w:div>
    <w:div w:id="707216388">
      <w:bodyDiv w:val="1"/>
      <w:marLeft w:val="0"/>
      <w:marRight w:val="0"/>
      <w:marTop w:val="0"/>
      <w:marBottom w:val="0"/>
      <w:divBdr>
        <w:top w:val="none" w:sz="0" w:space="0" w:color="auto"/>
        <w:left w:val="none" w:sz="0" w:space="0" w:color="auto"/>
        <w:bottom w:val="none" w:sz="0" w:space="0" w:color="auto"/>
        <w:right w:val="none" w:sz="0" w:space="0" w:color="auto"/>
      </w:divBdr>
      <w:divsChild>
        <w:div w:id="1670208766">
          <w:marLeft w:val="0"/>
          <w:marRight w:val="0"/>
          <w:marTop w:val="0"/>
          <w:marBottom w:val="0"/>
          <w:divBdr>
            <w:top w:val="none" w:sz="0" w:space="0" w:color="auto"/>
            <w:left w:val="none" w:sz="0" w:space="0" w:color="auto"/>
            <w:bottom w:val="none" w:sz="0" w:space="0" w:color="auto"/>
            <w:right w:val="none" w:sz="0" w:space="0" w:color="auto"/>
          </w:divBdr>
        </w:div>
      </w:divsChild>
    </w:div>
    <w:div w:id="731076513">
      <w:bodyDiv w:val="1"/>
      <w:marLeft w:val="0"/>
      <w:marRight w:val="0"/>
      <w:marTop w:val="0"/>
      <w:marBottom w:val="0"/>
      <w:divBdr>
        <w:top w:val="none" w:sz="0" w:space="0" w:color="auto"/>
        <w:left w:val="none" w:sz="0" w:space="0" w:color="auto"/>
        <w:bottom w:val="none" w:sz="0" w:space="0" w:color="auto"/>
        <w:right w:val="none" w:sz="0" w:space="0" w:color="auto"/>
      </w:divBdr>
    </w:div>
    <w:div w:id="821771563">
      <w:bodyDiv w:val="1"/>
      <w:marLeft w:val="0"/>
      <w:marRight w:val="0"/>
      <w:marTop w:val="0"/>
      <w:marBottom w:val="0"/>
      <w:divBdr>
        <w:top w:val="none" w:sz="0" w:space="0" w:color="auto"/>
        <w:left w:val="none" w:sz="0" w:space="0" w:color="auto"/>
        <w:bottom w:val="none" w:sz="0" w:space="0" w:color="auto"/>
        <w:right w:val="none" w:sz="0" w:space="0" w:color="auto"/>
      </w:divBdr>
    </w:div>
    <w:div w:id="861087183">
      <w:bodyDiv w:val="1"/>
      <w:marLeft w:val="0"/>
      <w:marRight w:val="0"/>
      <w:marTop w:val="0"/>
      <w:marBottom w:val="0"/>
      <w:divBdr>
        <w:top w:val="none" w:sz="0" w:space="0" w:color="auto"/>
        <w:left w:val="none" w:sz="0" w:space="0" w:color="auto"/>
        <w:bottom w:val="none" w:sz="0" w:space="0" w:color="auto"/>
        <w:right w:val="none" w:sz="0" w:space="0" w:color="auto"/>
      </w:divBdr>
    </w:div>
    <w:div w:id="872887768">
      <w:bodyDiv w:val="1"/>
      <w:marLeft w:val="0"/>
      <w:marRight w:val="0"/>
      <w:marTop w:val="0"/>
      <w:marBottom w:val="0"/>
      <w:divBdr>
        <w:top w:val="none" w:sz="0" w:space="0" w:color="auto"/>
        <w:left w:val="none" w:sz="0" w:space="0" w:color="auto"/>
        <w:bottom w:val="none" w:sz="0" w:space="0" w:color="auto"/>
        <w:right w:val="none" w:sz="0" w:space="0" w:color="auto"/>
      </w:divBdr>
    </w:div>
    <w:div w:id="880018513">
      <w:bodyDiv w:val="1"/>
      <w:marLeft w:val="0"/>
      <w:marRight w:val="0"/>
      <w:marTop w:val="0"/>
      <w:marBottom w:val="0"/>
      <w:divBdr>
        <w:top w:val="none" w:sz="0" w:space="0" w:color="auto"/>
        <w:left w:val="none" w:sz="0" w:space="0" w:color="auto"/>
        <w:bottom w:val="none" w:sz="0" w:space="0" w:color="auto"/>
        <w:right w:val="none" w:sz="0" w:space="0" w:color="auto"/>
      </w:divBdr>
    </w:div>
    <w:div w:id="911474835">
      <w:bodyDiv w:val="1"/>
      <w:marLeft w:val="0"/>
      <w:marRight w:val="0"/>
      <w:marTop w:val="0"/>
      <w:marBottom w:val="0"/>
      <w:divBdr>
        <w:top w:val="none" w:sz="0" w:space="0" w:color="auto"/>
        <w:left w:val="none" w:sz="0" w:space="0" w:color="auto"/>
        <w:bottom w:val="none" w:sz="0" w:space="0" w:color="auto"/>
        <w:right w:val="none" w:sz="0" w:space="0" w:color="auto"/>
      </w:divBdr>
    </w:div>
    <w:div w:id="932662739">
      <w:bodyDiv w:val="1"/>
      <w:marLeft w:val="0"/>
      <w:marRight w:val="0"/>
      <w:marTop w:val="0"/>
      <w:marBottom w:val="0"/>
      <w:divBdr>
        <w:top w:val="none" w:sz="0" w:space="0" w:color="auto"/>
        <w:left w:val="none" w:sz="0" w:space="0" w:color="auto"/>
        <w:bottom w:val="none" w:sz="0" w:space="0" w:color="auto"/>
        <w:right w:val="none" w:sz="0" w:space="0" w:color="auto"/>
      </w:divBdr>
      <w:divsChild>
        <w:div w:id="2147240283">
          <w:marLeft w:val="0"/>
          <w:marRight w:val="0"/>
          <w:marTop w:val="0"/>
          <w:marBottom w:val="0"/>
          <w:divBdr>
            <w:top w:val="none" w:sz="0" w:space="0" w:color="auto"/>
            <w:left w:val="none" w:sz="0" w:space="0" w:color="auto"/>
            <w:bottom w:val="none" w:sz="0" w:space="0" w:color="auto"/>
            <w:right w:val="none" w:sz="0" w:space="0" w:color="auto"/>
          </w:divBdr>
        </w:div>
      </w:divsChild>
    </w:div>
    <w:div w:id="1025442527">
      <w:bodyDiv w:val="1"/>
      <w:marLeft w:val="0"/>
      <w:marRight w:val="0"/>
      <w:marTop w:val="0"/>
      <w:marBottom w:val="0"/>
      <w:divBdr>
        <w:top w:val="none" w:sz="0" w:space="0" w:color="auto"/>
        <w:left w:val="none" w:sz="0" w:space="0" w:color="auto"/>
        <w:bottom w:val="none" w:sz="0" w:space="0" w:color="auto"/>
        <w:right w:val="none" w:sz="0" w:space="0" w:color="auto"/>
      </w:divBdr>
    </w:div>
    <w:div w:id="1094517538">
      <w:bodyDiv w:val="1"/>
      <w:marLeft w:val="0"/>
      <w:marRight w:val="0"/>
      <w:marTop w:val="0"/>
      <w:marBottom w:val="0"/>
      <w:divBdr>
        <w:top w:val="none" w:sz="0" w:space="0" w:color="auto"/>
        <w:left w:val="none" w:sz="0" w:space="0" w:color="auto"/>
        <w:bottom w:val="none" w:sz="0" w:space="0" w:color="auto"/>
        <w:right w:val="none" w:sz="0" w:space="0" w:color="auto"/>
      </w:divBdr>
    </w:div>
    <w:div w:id="1314260162">
      <w:bodyDiv w:val="1"/>
      <w:marLeft w:val="0"/>
      <w:marRight w:val="0"/>
      <w:marTop w:val="0"/>
      <w:marBottom w:val="0"/>
      <w:divBdr>
        <w:top w:val="none" w:sz="0" w:space="0" w:color="auto"/>
        <w:left w:val="none" w:sz="0" w:space="0" w:color="auto"/>
        <w:bottom w:val="none" w:sz="0" w:space="0" w:color="auto"/>
        <w:right w:val="none" w:sz="0" w:space="0" w:color="auto"/>
      </w:divBdr>
    </w:div>
    <w:div w:id="1368289757">
      <w:bodyDiv w:val="1"/>
      <w:marLeft w:val="0"/>
      <w:marRight w:val="0"/>
      <w:marTop w:val="0"/>
      <w:marBottom w:val="0"/>
      <w:divBdr>
        <w:top w:val="none" w:sz="0" w:space="0" w:color="auto"/>
        <w:left w:val="none" w:sz="0" w:space="0" w:color="auto"/>
        <w:bottom w:val="none" w:sz="0" w:space="0" w:color="auto"/>
        <w:right w:val="none" w:sz="0" w:space="0" w:color="auto"/>
      </w:divBdr>
    </w:div>
    <w:div w:id="1414277274">
      <w:bodyDiv w:val="1"/>
      <w:marLeft w:val="0"/>
      <w:marRight w:val="0"/>
      <w:marTop w:val="0"/>
      <w:marBottom w:val="0"/>
      <w:divBdr>
        <w:top w:val="none" w:sz="0" w:space="0" w:color="auto"/>
        <w:left w:val="none" w:sz="0" w:space="0" w:color="auto"/>
        <w:bottom w:val="none" w:sz="0" w:space="0" w:color="auto"/>
        <w:right w:val="none" w:sz="0" w:space="0" w:color="auto"/>
      </w:divBdr>
    </w:div>
    <w:div w:id="1562329202">
      <w:bodyDiv w:val="1"/>
      <w:marLeft w:val="0"/>
      <w:marRight w:val="0"/>
      <w:marTop w:val="0"/>
      <w:marBottom w:val="0"/>
      <w:divBdr>
        <w:top w:val="none" w:sz="0" w:space="0" w:color="auto"/>
        <w:left w:val="none" w:sz="0" w:space="0" w:color="auto"/>
        <w:bottom w:val="none" w:sz="0" w:space="0" w:color="auto"/>
        <w:right w:val="none" w:sz="0" w:space="0" w:color="auto"/>
      </w:divBdr>
      <w:divsChild>
        <w:div w:id="1568999931">
          <w:marLeft w:val="0"/>
          <w:marRight w:val="0"/>
          <w:marTop w:val="0"/>
          <w:marBottom w:val="0"/>
          <w:divBdr>
            <w:top w:val="none" w:sz="0" w:space="0" w:color="auto"/>
            <w:left w:val="none" w:sz="0" w:space="0" w:color="auto"/>
            <w:bottom w:val="none" w:sz="0" w:space="0" w:color="auto"/>
            <w:right w:val="none" w:sz="0" w:space="0" w:color="auto"/>
          </w:divBdr>
        </w:div>
      </w:divsChild>
    </w:div>
    <w:div w:id="1633704439">
      <w:bodyDiv w:val="1"/>
      <w:marLeft w:val="0"/>
      <w:marRight w:val="0"/>
      <w:marTop w:val="0"/>
      <w:marBottom w:val="0"/>
      <w:divBdr>
        <w:top w:val="none" w:sz="0" w:space="0" w:color="auto"/>
        <w:left w:val="none" w:sz="0" w:space="0" w:color="auto"/>
        <w:bottom w:val="none" w:sz="0" w:space="0" w:color="auto"/>
        <w:right w:val="none" w:sz="0" w:space="0" w:color="auto"/>
      </w:divBdr>
    </w:div>
    <w:div w:id="1657488470">
      <w:bodyDiv w:val="1"/>
      <w:marLeft w:val="0"/>
      <w:marRight w:val="0"/>
      <w:marTop w:val="0"/>
      <w:marBottom w:val="0"/>
      <w:divBdr>
        <w:top w:val="none" w:sz="0" w:space="0" w:color="auto"/>
        <w:left w:val="none" w:sz="0" w:space="0" w:color="auto"/>
        <w:bottom w:val="none" w:sz="0" w:space="0" w:color="auto"/>
        <w:right w:val="none" w:sz="0" w:space="0" w:color="auto"/>
      </w:divBdr>
    </w:div>
    <w:div w:id="1675572166">
      <w:bodyDiv w:val="1"/>
      <w:marLeft w:val="0"/>
      <w:marRight w:val="0"/>
      <w:marTop w:val="0"/>
      <w:marBottom w:val="0"/>
      <w:divBdr>
        <w:top w:val="none" w:sz="0" w:space="0" w:color="auto"/>
        <w:left w:val="none" w:sz="0" w:space="0" w:color="auto"/>
        <w:bottom w:val="none" w:sz="0" w:space="0" w:color="auto"/>
        <w:right w:val="none" w:sz="0" w:space="0" w:color="auto"/>
      </w:divBdr>
    </w:div>
    <w:div w:id="1949778760">
      <w:bodyDiv w:val="1"/>
      <w:marLeft w:val="0"/>
      <w:marRight w:val="0"/>
      <w:marTop w:val="0"/>
      <w:marBottom w:val="0"/>
      <w:divBdr>
        <w:top w:val="none" w:sz="0" w:space="0" w:color="auto"/>
        <w:left w:val="none" w:sz="0" w:space="0" w:color="auto"/>
        <w:bottom w:val="none" w:sz="0" w:space="0" w:color="auto"/>
        <w:right w:val="none" w:sz="0" w:space="0" w:color="auto"/>
      </w:divBdr>
    </w:div>
    <w:div w:id="2106026556">
      <w:bodyDiv w:val="1"/>
      <w:marLeft w:val="0"/>
      <w:marRight w:val="0"/>
      <w:marTop w:val="0"/>
      <w:marBottom w:val="0"/>
      <w:divBdr>
        <w:top w:val="none" w:sz="0" w:space="0" w:color="auto"/>
        <w:left w:val="none" w:sz="0" w:space="0" w:color="auto"/>
        <w:bottom w:val="none" w:sz="0" w:space="0" w:color="auto"/>
        <w:right w:val="none" w:sz="0" w:space="0" w:color="auto"/>
      </w:divBdr>
    </w:div>
    <w:div w:id="2118989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revisor.mn.gov/laws/2023/0/Session+Law/Chapter/37/" TargetMode="External"/><Relationship Id="rId18" Type="http://schemas.openxmlformats.org/officeDocument/2006/relationships/hyperlink" Target="https://www.mnhousing.gov/homebuyers---homeowners/community-initiatives-programs.html" TargetMode="External"/><Relationship Id="rId26" Type="http://schemas.openxmlformats.org/officeDocument/2006/relationships/hyperlink" Target="https://www.mnhousing.gov/report-wrongdoing-or-concerns.html" TargetMode="External"/><Relationship Id="rId3" Type="http://schemas.openxmlformats.org/officeDocument/2006/relationships/styles" Target="styles.xml"/><Relationship Id="rId21" Type="http://schemas.openxmlformats.org/officeDocument/2006/relationships/hyperlink" Target="https://www.revisor.mn.gov/statutes/cite/13.599"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s://events.gcc.teams.microsoft.com/event/ccc62261-1d96-4803-90ce-2a394cf0950d@eb14b046-24c4-4519-8f26-b89c2159828c%20" TargetMode="External"/><Relationship Id="rId25" Type="http://schemas.openxmlformats.org/officeDocument/2006/relationships/hyperlink" Target="https://www.mnhousing.gov/document/hig_pr"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vents.gcc.teams.microsoft.com/event/ccc62261-1d96-4803-90ce-2a394cf0950d@eb14b046-24c4-4519-8f26-b89c2159828c" TargetMode="External"/><Relationship Id="rId20" Type="http://schemas.openxmlformats.org/officeDocument/2006/relationships/hyperlink" Target="https://www.mnhousing.gov/content/published/api/v1.1/assets/CONTC54C6223F55B44B9A0DB7ABC2CAFDB84/native?cb=_cache_4a0e&amp;channelToken=294436b7dd6c4570988cae88f0ee7c90&amp;download=false" TargetMode="External"/><Relationship Id="rId29" Type="http://schemas.openxmlformats.org/officeDocument/2006/relationships/hyperlink" Target="https://www.mnhousing.gov/homebuyers---homeowners/community-initiatives-program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s://guest.supplier.systems.state.mn.us/psc/fmssupap/SUPPLIER/ERP/c/NUI_FRAMEWORK.PT_LANDINGPAGE.GBL?&amp;" TargetMode="External"/><Relationship Id="rId32"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www.revisor.mn.gov/statutes/2023/cite/16B.981" TargetMode="External"/><Relationship Id="rId23" Type="http://schemas.openxmlformats.org/officeDocument/2006/relationships/hyperlink" Target="https://www.irs.gov/pub/irs-pdf/fw9.pdf" TargetMode="External"/><Relationship Id="rId28" Type="http://schemas.openxmlformats.org/officeDocument/2006/relationships/hyperlink" Target="hig.mhfa@state.mn.us" TargetMode="External"/><Relationship Id="rId10" Type="http://schemas.openxmlformats.org/officeDocument/2006/relationships/footer" Target="footer2.xml"/><Relationship Id="rId19" Type="http://schemas.openxmlformats.org/officeDocument/2006/relationships/hyperlink" Target="Laurie.zabel@state.mn.us"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revisor.mn.gov/laws/2023/0/Session+Law/Chapter/37/" TargetMode="External"/><Relationship Id="rId22" Type="http://schemas.openxmlformats.org/officeDocument/2006/relationships/hyperlink" Target="https://www.revisor.mn.gov/statutes/cite/13.37" TargetMode="External"/><Relationship Id="rId27" Type="http://schemas.openxmlformats.org/officeDocument/2006/relationships/hyperlink" Target="https://www.revisor.mn.gov/statutes/?id=201.162" TargetMode="External"/><Relationship Id="rId30"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esalvo\Downloads\MHFA_297856.dotx"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060D0-E29D-4836-B4C0-3C4FF5513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MHFA_297856</Template>
  <TotalTime>509</TotalTime>
  <Pages>17</Pages>
  <Words>4512</Words>
  <Characters>26491</Characters>
  <Application>Microsoft Office Word</Application>
  <DocSecurity>0</DocSecurity>
  <Lines>563</Lines>
  <Paragraphs>310</Paragraphs>
  <ScaleCrop>false</ScaleCrop>
  <HeadingPairs>
    <vt:vector size="2" baseType="variant">
      <vt:variant>
        <vt:lpstr>Title</vt:lpstr>
      </vt:variant>
      <vt:variant>
        <vt:i4>1</vt:i4>
      </vt:variant>
    </vt:vector>
  </HeadingPairs>
  <TitlesOfParts>
    <vt:vector size="1" baseType="lpstr">
      <vt:lpstr/>
    </vt:vector>
  </TitlesOfParts>
  <Manager/>
  <Company>State of Minnesota</Company>
  <LinksUpToDate>false</LinksUpToDate>
  <CharactersWithSpaces>30693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DeSalvo, Lane</dc:creator>
  <cp:keywords/>
  <dc:description/>
  <cp:lastModifiedBy>Stibbins, Dana M (MHFA)</cp:lastModifiedBy>
  <cp:revision>13</cp:revision>
  <cp:lastPrinted>2024-11-20T15:14:00Z</cp:lastPrinted>
  <dcterms:created xsi:type="dcterms:W3CDTF">2025-02-04T22:10:00Z</dcterms:created>
  <dcterms:modified xsi:type="dcterms:W3CDTF">2025-02-10T14:50:00Z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2.01</vt:lpwstr>
  </property>
  <property fmtid="{D5CDD505-2E9C-101B-9397-08002B2CF9AE}" pid="3" name="GrammarlyDocumentId">
    <vt:lpwstr>e2030bb676733e80ae5d815d1174e840782aa1e3600f12bffd4f3163e2bfb7e6</vt:lpwstr>
  </property>
</Properties>
</file>